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spacing w:after="156" w:afterLines="50" w:line="600" w:lineRule="exact"/>
        <w:jc w:val="center"/>
        <w:rPr>
          <w:rFonts w:hint="default" w:ascii="Times New Roman" w:hAnsi="Times New Roman" w:eastAsia="方正小标宋简体" w:cs="Times New Roman"/>
          <w:color w:val="000000"/>
          <w:sz w:val="44"/>
          <w:szCs w:val="44"/>
        </w:rPr>
      </w:pPr>
      <w:r>
        <w:rPr>
          <w:rFonts w:hint="default" w:ascii="Times New Roman" w:hAnsi="Times New Roman" w:eastAsia="方正小标宋_GBK" w:cs="Times New Roman"/>
          <w:color w:val="000000"/>
          <w:sz w:val="44"/>
          <w:szCs w:val="44"/>
          <w:lang w:val="en-US" w:eastAsia="zh-CN"/>
        </w:rPr>
        <w:t>江苏</w:t>
      </w:r>
      <w:r>
        <w:rPr>
          <w:rFonts w:hint="default" w:ascii="Times New Roman" w:hAnsi="Times New Roman" w:eastAsia="方正小标宋_GBK" w:cs="Times New Roman"/>
          <w:color w:val="000000"/>
          <w:sz w:val="44"/>
          <w:szCs w:val="44"/>
        </w:rPr>
        <w:t>新闻奖</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lang w:val="en-US" w:eastAsia="zh-CN"/>
        </w:rPr>
        <w:t>作品</w:t>
      </w:r>
      <w:r>
        <w:rPr>
          <w:rFonts w:hint="eastAsia" w:ascii="Times New Roman" w:hAnsi="Times New Roman" w:eastAsia="方正小标宋_GBK" w:cs="Times New Roman"/>
          <w:color w:val="000000"/>
          <w:sz w:val="44"/>
          <w:szCs w:val="44"/>
          <w:lang w:val="en-US" w:eastAsia="zh-CN"/>
        </w:rPr>
        <w:t>类</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rPr>
        <w:t>参评作品推荐表</w:t>
      </w:r>
    </w:p>
    <w:tbl>
      <w:tblPr>
        <w:tblStyle w:val="5"/>
        <w:tblW w:w="98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5"/>
        <w:gridCol w:w="846"/>
        <w:gridCol w:w="913"/>
        <w:gridCol w:w="1161"/>
        <w:gridCol w:w="1417"/>
        <w:gridCol w:w="1530"/>
        <w:gridCol w:w="497"/>
        <w:gridCol w:w="1678"/>
        <w:gridCol w:w="976"/>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jc w:val="center"/>
        </w:trPr>
        <w:tc>
          <w:tcPr>
            <w:tcW w:w="1641" w:type="dxa"/>
            <w:gridSpan w:val="2"/>
            <w:tcBorders>
              <w:tl2br w:val="nil"/>
              <w:tr2bl w:val="nil"/>
            </w:tcBorders>
            <w:vAlign w:val="center"/>
          </w:tcPr>
          <w:p w14:paraId="3D56D549">
            <w:pPr>
              <w:spacing w:line="320" w:lineRule="exact"/>
              <w:jc w:val="center"/>
              <w:rPr>
                <w:rFonts w:hint="default" w:ascii="Times New Roman" w:hAnsi="Times New Roman" w:eastAsia="方正仿宋_GBK" w:cs="Times New Roman"/>
                <w:b/>
                <w:bCs/>
                <w:color w:val="000000"/>
                <w:sz w:val="24"/>
                <w:szCs w:val="24"/>
              </w:rPr>
            </w:pPr>
            <w:r>
              <w:rPr>
                <w:rFonts w:hint="default" w:ascii="Times New Roman" w:hAnsi="Times New Roman" w:eastAsia="方正仿宋_GBK" w:cs="Times New Roman"/>
                <w:b/>
                <w:bCs/>
                <w:color w:val="000000"/>
                <w:sz w:val="24"/>
                <w:szCs w:val="24"/>
              </w:rPr>
              <w:t>作品</w:t>
            </w:r>
          </w:p>
          <w:p w14:paraId="54EF6AB0">
            <w:pPr>
              <w:spacing w:line="320" w:lineRule="exact"/>
              <w:jc w:val="center"/>
              <w:rPr>
                <w:rFonts w:hint="default" w:ascii="Times New Roman" w:hAnsi="Times New Roman" w:eastAsia="方正仿宋_GBK" w:cs="Times New Roman"/>
                <w:b/>
                <w:bCs/>
                <w:color w:val="000000"/>
                <w:sz w:val="24"/>
                <w:szCs w:val="24"/>
              </w:rPr>
            </w:pPr>
            <w:r>
              <w:rPr>
                <w:rFonts w:hint="default" w:ascii="Times New Roman" w:hAnsi="Times New Roman" w:eastAsia="方正仿宋_GBK" w:cs="Times New Roman"/>
                <w:b/>
                <w:bCs/>
                <w:color w:val="000000"/>
                <w:sz w:val="24"/>
                <w:szCs w:val="24"/>
              </w:rPr>
              <w:t>标题</w:t>
            </w:r>
          </w:p>
        </w:tc>
        <w:tc>
          <w:tcPr>
            <w:tcW w:w="3491" w:type="dxa"/>
            <w:gridSpan w:val="3"/>
            <w:tcBorders>
              <w:tl2br w:val="nil"/>
              <w:tr2bl w:val="nil"/>
            </w:tcBorders>
            <w:vAlign w:val="center"/>
          </w:tcPr>
          <w:p w14:paraId="083D8E9F">
            <w:pPr>
              <w:spacing w:line="240" w:lineRule="exact"/>
              <w:jc w:val="center"/>
              <w:rPr>
                <w:rFonts w:hint="eastAsia" w:ascii="方正仿宋_GBK" w:hAnsi="方正仿宋_GBK" w:eastAsia="方正仿宋_GBK" w:cs="方正仿宋_GBK"/>
                <w:b w:val="0"/>
                <w:bCs w:val="0"/>
                <w:color w:val="000000"/>
                <w:sz w:val="21"/>
                <w:szCs w:val="21"/>
              </w:rPr>
            </w:pPr>
          </w:p>
          <w:p w14:paraId="6A55D26E">
            <w:pPr>
              <w:spacing w:line="240" w:lineRule="exact"/>
              <w:jc w:val="center"/>
              <w:rPr>
                <w:rFonts w:hint="eastAsia" w:ascii="方正仿宋_GBK" w:hAnsi="方正仿宋_GBK" w:eastAsia="方正仿宋_GBK" w:cs="方正仿宋_GBK"/>
                <w:b w:val="0"/>
                <w:bCs w:val="0"/>
                <w:color w:val="000000"/>
                <w:sz w:val="21"/>
                <w:szCs w:val="21"/>
              </w:rPr>
            </w:pPr>
            <w:r>
              <w:rPr>
                <w:rFonts w:hint="eastAsia" w:ascii="方正仿宋_GBK" w:hAnsi="方正仿宋_GBK" w:eastAsia="方正仿宋_GBK" w:cs="方正仿宋_GBK"/>
                <w:b w:val="0"/>
                <w:bCs w:val="0"/>
                <w:color w:val="000000"/>
                <w:sz w:val="21"/>
                <w:szCs w:val="21"/>
              </w:rPr>
              <w:t>“破烂王”的生态觉醒</w:t>
            </w:r>
          </w:p>
          <w:p w14:paraId="5609971C">
            <w:pPr>
              <w:spacing w:line="240" w:lineRule="exact"/>
              <w:ind w:firstLine="0" w:firstLineChars="0"/>
              <w:jc w:val="center"/>
              <w:rPr>
                <w:rFonts w:hint="eastAsia" w:ascii="方正仿宋_GBK" w:hAnsi="方正仿宋_GBK" w:eastAsia="方正仿宋_GBK" w:cs="方正仿宋_GBK"/>
                <w:b w:val="0"/>
                <w:bCs w:val="0"/>
                <w:color w:val="000000"/>
                <w:sz w:val="21"/>
                <w:szCs w:val="21"/>
              </w:rPr>
            </w:pPr>
          </w:p>
        </w:tc>
        <w:tc>
          <w:tcPr>
            <w:tcW w:w="1530" w:type="dxa"/>
            <w:tcBorders>
              <w:tl2br w:val="nil"/>
              <w:tr2bl w:val="nil"/>
            </w:tcBorders>
            <w:vAlign w:val="center"/>
          </w:tcPr>
          <w:p w14:paraId="7C625C79">
            <w:pPr>
              <w:spacing w:line="320" w:lineRule="exact"/>
              <w:jc w:val="center"/>
              <w:rPr>
                <w:rFonts w:hint="default" w:ascii="Times New Roman" w:hAnsi="Times New Roman" w:eastAsia="方正仿宋_GBK" w:cs="Times New Roman"/>
                <w:b/>
                <w:bCs/>
                <w:color w:val="000000"/>
                <w:sz w:val="24"/>
                <w:szCs w:val="24"/>
                <w:lang w:val="en-US" w:eastAsia="zh-CN"/>
              </w:rPr>
            </w:pPr>
            <w:r>
              <w:rPr>
                <w:rFonts w:hint="eastAsia" w:ascii="Times New Roman" w:hAnsi="Times New Roman" w:eastAsia="方正仿宋_GBK" w:cs="Times New Roman"/>
                <w:b/>
                <w:bCs/>
                <w:color w:val="000000"/>
                <w:sz w:val="24"/>
                <w:szCs w:val="24"/>
                <w:lang w:val="en-US" w:eastAsia="zh-CN"/>
              </w:rPr>
              <w:t>作品年度</w:t>
            </w:r>
          </w:p>
        </w:tc>
        <w:tc>
          <w:tcPr>
            <w:tcW w:w="3151" w:type="dxa"/>
            <w:gridSpan w:val="3"/>
            <w:tcBorders>
              <w:tl2br w:val="nil"/>
              <w:tr2bl w:val="nil"/>
            </w:tcBorders>
            <w:vAlign w:val="center"/>
          </w:tcPr>
          <w:p w14:paraId="648297C0">
            <w:pPr>
              <w:spacing w:line="240" w:lineRule="exact"/>
              <w:ind w:firstLine="0" w:firstLineChars="0"/>
              <w:jc w:val="center"/>
              <w:rPr>
                <w:rFonts w:hint="eastAsia" w:ascii="方正仿宋_GBK" w:hAnsi="方正仿宋_GBK" w:eastAsia="方正仿宋_GBK" w:cs="方正仿宋_GBK"/>
                <w:b w:val="0"/>
                <w:bCs w:val="0"/>
                <w:color w:val="000000"/>
                <w:sz w:val="21"/>
                <w:szCs w:val="21"/>
                <w:lang w:val="en-US" w:eastAsia="zh-CN"/>
              </w:rPr>
            </w:pPr>
            <w:r>
              <w:rPr>
                <w:rFonts w:hint="eastAsia" w:ascii="方正仿宋_GBK" w:hAnsi="方正仿宋_GBK" w:eastAsia="方正仿宋_GBK" w:cs="方正仿宋_GBK"/>
                <w:b w:val="0"/>
                <w:bCs w:val="0"/>
                <w:color w:val="000000"/>
                <w:sz w:val="21"/>
                <w:szCs w:val="21"/>
                <w:lang w:val="en-US" w:eastAsia="zh-CN"/>
              </w:rPr>
              <w:t>2023年度</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exact"/>
          <w:jc w:val="center"/>
        </w:trPr>
        <w:tc>
          <w:tcPr>
            <w:tcW w:w="1641" w:type="dxa"/>
            <w:gridSpan w:val="2"/>
            <w:vMerge w:val="restart"/>
            <w:tcBorders>
              <w:tl2br w:val="nil"/>
              <w:tr2bl w:val="nil"/>
            </w:tcBorders>
            <w:vAlign w:val="center"/>
          </w:tcPr>
          <w:p w14:paraId="420C0C53">
            <w:pPr>
              <w:spacing w:line="320" w:lineRule="exact"/>
              <w:jc w:val="center"/>
              <w:rPr>
                <w:rFonts w:hint="default" w:ascii="Times New Roman" w:hAnsi="Times New Roman" w:eastAsia="方正仿宋_GBK" w:cs="Times New Roman"/>
                <w:b/>
                <w:bCs/>
                <w:color w:val="000000"/>
                <w:sz w:val="24"/>
                <w:szCs w:val="24"/>
              </w:rPr>
            </w:pPr>
            <w:r>
              <w:rPr>
                <w:rFonts w:hint="default" w:ascii="Times New Roman" w:hAnsi="Times New Roman" w:eastAsia="方正仿宋_GBK" w:cs="Times New Roman"/>
                <w:b/>
                <w:bCs/>
                <w:color w:val="000000"/>
                <w:sz w:val="24"/>
                <w:szCs w:val="24"/>
              </w:rPr>
              <w:t>字数</w:t>
            </w:r>
          </w:p>
          <w:p w14:paraId="241941F1">
            <w:pPr>
              <w:spacing w:line="320" w:lineRule="exact"/>
              <w:jc w:val="center"/>
              <w:rPr>
                <w:rFonts w:hint="default" w:ascii="Times New Roman" w:hAnsi="Times New Roman" w:eastAsia="方正仿宋_GBK" w:cs="Times New Roman"/>
                <w:b/>
                <w:bCs/>
                <w:color w:val="000000"/>
                <w:sz w:val="24"/>
                <w:szCs w:val="24"/>
              </w:rPr>
            </w:pPr>
            <w:r>
              <w:rPr>
                <w:rFonts w:hint="default" w:ascii="Times New Roman" w:hAnsi="Times New Roman" w:eastAsia="方正仿宋_GBK" w:cs="Times New Roman"/>
                <w:b/>
                <w:bCs/>
                <w:color w:val="000000"/>
                <w:sz w:val="24"/>
                <w:szCs w:val="24"/>
              </w:rPr>
              <w:t>时长</w:t>
            </w:r>
          </w:p>
        </w:tc>
        <w:tc>
          <w:tcPr>
            <w:tcW w:w="3491" w:type="dxa"/>
            <w:gridSpan w:val="3"/>
            <w:vMerge w:val="restart"/>
            <w:tcBorders>
              <w:tl2br w:val="nil"/>
              <w:tr2bl w:val="nil"/>
            </w:tcBorders>
            <w:vAlign w:val="center"/>
          </w:tcPr>
          <w:p w14:paraId="78038E3E">
            <w:pPr>
              <w:spacing w:line="240" w:lineRule="exact"/>
              <w:ind w:firstLine="0" w:firstLineChars="0"/>
              <w:jc w:val="center"/>
              <w:rPr>
                <w:rFonts w:hint="eastAsia" w:ascii="方正仿宋_GBK" w:hAnsi="方正仿宋_GBK" w:eastAsia="方正仿宋_GBK" w:cs="方正仿宋_GBK"/>
                <w:b w:val="0"/>
                <w:bCs w:val="0"/>
                <w:color w:val="000000"/>
                <w:sz w:val="21"/>
                <w:szCs w:val="21"/>
                <w:lang w:val="en-US" w:eastAsia="zh-CN"/>
              </w:rPr>
            </w:pPr>
            <w:r>
              <w:rPr>
                <w:rFonts w:hint="eastAsia" w:ascii="方正仿宋_GBK" w:hAnsi="方正仿宋_GBK" w:eastAsia="方正仿宋_GBK" w:cs="方正仿宋_GBK"/>
                <w:b w:val="0"/>
                <w:bCs w:val="0"/>
                <w:color w:val="000000"/>
                <w:sz w:val="21"/>
                <w:szCs w:val="21"/>
                <w:lang w:val="en-US" w:eastAsia="zh-CN"/>
              </w:rPr>
              <w:t>4868</w:t>
            </w:r>
          </w:p>
        </w:tc>
        <w:tc>
          <w:tcPr>
            <w:tcW w:w="1530" w:type="dxa"/>
            <w:tcBorders>
              <w:tl2br w:val="nil"/>
              <w:tr2bl w:val="nil"/>
            </w:tcBorders>
            <w:shd w:val="clear" w:color="auto" w:fill="auto"/>
            <w:vAlign w:val="center"/>
          </w:tcPr>
          <w:p w14:paraId="1BB47A1D">
            <w:pPr>
              <w:spacing w:line="320" w:lineRule="exact"/>
              <w:jc w:val="center"/>
              <w:rPr>
                <w:rFonts w:hint="default" w:ascii="Times New Roman" w:hAnsi="Times New Roman" w:eastAsia="方正仿宋_GBK" w:cs="Times New Roman"/>
                <w:b/>
                <w:bCs/>
                <w:color w:val="000000"/>
                <w:kern w:val="2"/>
                <w:sz w:val="24"/>
                <w:szCs w:val="24"/>
                <w:lang w:val="en-US" w:eastAsia="zh-CN" w:bidi="ar-SA"/>
              </w:rPr>
            </w:pPr>
            <w:r>
              <w:rPr>
                <w:rFonts w:hint="eastAsia" w:ascii="Times New Roman" w:hAnsi="Times New Roman" w:eastAsia="方正仿宋_GBK" w:cs="Times New Roman"/>
                <w:b/>
                <w:bCs/>
                <w:color w:val="000000"/>
                <w:sz w:val="24"/>
                <w:szCs w:val="24"/>
                <w:lang w:val="en-US" w:eastAsia="zh-CN"/>
              </w:rPr>
              <w:t>作品类别</w:t>
            </w:r>
          </w:p>
        </w:tc>
        <w:tc>
          <w:tcPr>
            <w:tcW w:w="3151" w:type="dxa"/>
            <w:gridSpan w:val="3"/>
            <w:tcBorders>
              <w:tl2br w:val="nil"/>
              <w:tr2bl w:val="nil"/>
            </w:tcBorders>
            <w:shd w:val="clear" w:color="auto" w:fill="auto"/>
            <w:vAlign w:val="center"/>
          </w:tcPr>
          <w:p w14:paraId="0EF9348B">
            <w:pPr>
              <w:spacing w:line="240" w:lineRule="exact"/>
              <w:ind w:firstLine="0" w:firstLineChars="0"/>
              <w:jc w:val="center"/>
              <w:rPr>
                <w:rFonts w:hint="eastAsia" w:ascii="方正仿宋_GBK" w:hAnsi="方正仿宋_GBK" w:eastAsia="方正仿宋_GBK" w:cs="方正仿宋_GBK"/>
                <w:b w:val="0"/>
                <w:bCs w:val="0"/>
                <w:color w:val="000000"/>
                <w:kern w:val="2"/>
                <w:sz w:val="21"/>
                <w:szCs w:val="21"/>
                <w:lang w:val="en-US" w:eastAsia="zh-CN" w:bidi="ar-SA"/>
              </w:rPr>
            </w:pPr>
            <w:r>
              <w:rPr>
                <w:rFonts w:hint="eastAsia" w:ascii="方正仿宋_GBK" w:hAnsi="方正仿宋_GBK" w:eastAsia="方正仿宋_GBK" w:cs="方正仿宋_GBK"/>
                <w:b w:val="0"/>
                <w:bCs w:val="0"/>
                <w:color w:val="000000"/>
                <w:sz w:val="21"/>
                <w:szCs w:val="21"/>
              </w:rPr>
              <w:t>报纸</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 w:hRule="atLeast"/>
          <w:jc w:val="center"/>
        </w:trPr>
        <w:tc>
          <w:tcPr>
            <w:tcW w:w="1641" w:type="dxa"/>
            <w:gridSpan w:val="2"/>
            <w:vMerge w:val="continue"/>
            <w:tcBorders>
              <w:tl2br w:val="nil"/>
              <w:tr2bl w:val="nil"/>
            </w:tcBorders>
            <w:vAlign w:val="center"/>
          </w:tcPr>
          <w:p w14:paraId="595770B0">
            <w:pPr>
              <w:spacing w:line="320" w:lineRule="exact"/>
              <w:jc w:val="center"/>
              <w:rPr>
                <w:rFonts w:hint="default" w:ascii="Times New Roman" w:hAnsi="Times New Roman" w:eastAsia="方正仿宋_GBK" w:cs="Times New Roman"/>
                <w:b/>
                <w:bCs/>
                <w:color w:val="000000"/>
                <w:sz w:val="24"/>
                <w:szCs w:val="24"/>
              </w:rPr>
            </w:pPr>
          </w:p>
        </w:tc>
        <w:tc>
          <w:tcPr>
            <w:tcW w:w="3491" w:type="dxa"/>
            <w:gridSpan w:val="3"/>
            <w:vMerge w:val="continue"/>
            <w:tcBorders>
              <w:tl2br w:val="nil"/>
              <w:tr2bl w:val="nil"/>
            </w:tcBorders>
            <w:vAlign w:val="center"/>
          </w:tcPr>
          <w:p w14:paraId="0A8AF4DF">
            <w:pPr>
              <w:spacing w:line="380" w:lineRule="exact"/>
              <w:ind w:firstLine="560"/>
              <w:jc w:val="center"/>
              <w:rPr>
                <w:rFonts w:hint="eastAsia" w:ascii="方正仿宋_GBK" w:hAnsi="方正仿宋_GBK" w:eastAsia="方正仿宋_GBK" w:cs="方正仿宋_GBK"/>
                <w:b w:val="0"/>
                <w:bCs w:val="0"/>
                <w:color w:val="000000"/>
                <w:sz w:val="21"/>
                <w:szCs w:val="21"/>
              </w:rPr>
            </w:pPr>
          </w:p>
        </w:tc>
        <w:tc>
          <w:tcPr>
            <w:tcW w:w="1530" w:type="dxa"/>
            <w:tcBorders>
              <w:tl2br w:val="nil"/>
              <w:tr2bl w:val="nil"/>
            </w:tcBorders>
            <w:shd w:val="clear" w:color="auto" w:fill="auto"/>
            <w:vAlign w:val="center"/>
          </w:tcPr>
          <w:p w14:paraId="0FE0B5D4">
            <w:pPr>
              <w:spacing w:line="380" w:lineRule="exact"/>
              <w:jc w:val="center"/>
              <w:rPr>
                <w:rFonts w:hint="default" w:ascii="Times New Roman" w:hAnsi="Times New Roman" w:eastAsia="方正仿宋_GBK" w:cs="Times New Roman"/>
                <w:b/>
                <w:bCs/>
                <w:color w:val="000000"/>
                <w:kern w:val="2"/>
                <w:sz w:val="24"/>
                <w:szCs w:val="24"/>
                <w:lang w:val="en-US" w:eastAsia="zh-CN" w:bidi="ar-SA"/>
              </w:rPr>
            </w:pPr>
            <w:r>
              <w:rPr>
                <w:rFonts w:hint="default" w:ascii="Times New Roman" w:hAnsi="Times New Roman" w:eastAsia="方正仿宋_GBK" w:cs="Times New Roman"/>
                <w:b/>
                <w:bCs/>
                <w:color w:val="000000"/>
                <w:sz w:val="24"/>
                <w:szCs w:val="24"/>
              </w:rPr>
              <w:t>体裁</w:t>
            </w:r>
          </w:p>
        </w:tc>
        <w:tc>
          <w:tcPr>
            <w:tcW w:w="3151" w:type="dxa"/>
            <w:gridSpan w:val="3"/>
            <w:tcBorders>
              <w:tl2br w:val="nil"/>
              <w:tr2bl w:val="nil"/>
            </w:tcBorders>
            <w:shd w:val="clear" w:color="auto" w:fill="auto"/>
            <w:vAlign w:val="center"/>
          </w:tcPr>
          <w:p w14:paraId="3AAC3CF0">
            <w:pPr>
              <w:spacing w:line="240" w:lineRule="exact"/>
              <w:ind w:firstLine="0" w:firstLineChars="0"/>
              <w:jc w:val="center"/>
              <w:rPr>
                <w:rFonts w:hint="eastAsia" w:ascii="方正仿宋_GBK" w:hAnsi="方正仿宋_GBK" w:eastAsia="方正仿宋_GBK" w:cs="方正仿宋_GBK"/>
                <w:b w:val="0"/>
                <w:bCs w:val="0"/>
                <w:color w:val="000000"/>
                <w:kern w:val="2"/>
                <w:sz w:val="21"/>
                <w:szCs w:val="21"/>
                <w:lang w:val="en-US" w:eastAsia="zh-CN" w:bidi="ar-SA"/>
              </w:rPr>
            </w:pPr>
            <w:r>
              <w:rPr>
                <w:rFonts w:hint="eastAsia" w:ascii="方正仿宋_GBK" w:hAnsi="方正仿宋_GBK" w:eastAsia="方正仿宋_GBK" w:cs="方正仿宋_GBK"/>
                <w:b w:val="0"/>
                <w:bCs w:val="0"/>
                <w:color w:val="000000"/>
                <w:sz w:val="21"/>
                <w:szCs w:val="21"/>
                <w:lang w:val="en-US" w:eastAsia="zh-CN"/>
              </w:rPr>
              <w:t>深度报道</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1641" w:type="dxa"/>
            <w:gridSpan w:val="2"/>
            <w:tcBorders>
              <w:tl2br w:val="nil"/>
              <w:tr2bl w:val="nil"/>
            </w:tcBorders>
            <w:vAlign w:val="center"/>
          </w:tcPr>
          <w:p w14:paraId="39E259F9">
            <w:pPr>
              <w:spacing w:line="320" w:lineRule="exact"/>
              <w:jc w:val="center"/>
              <w:rPr>
                <w:rFonts w:hint="default" w:ascii="Times New Roman" w:hAnsi="Times New Roman" w:eastAsia="方正仿宋_GBK" w:cs="Times New Roman"/>
                <w:b/>
                <w:bCs/>
                <w:color w:val="000000"/>
                <w:spacing w:val="-12"/>
                <w:sz w:val="24"/>
                <w:szCs w:val="24"/>
              </w:rPr>
            </w:pPr>
            <w:r>
              <w:rPr>
                <w:rFonts w:hint="default" w:ascii="Times New Roman" w:hAnsi="Times New Roman" w:eastAsia="方正仿宋_GBK" w:cs="Times New Roman"/>
                <w:b/>
                <w:bCs/>
                <w:color w:val="000000"/>
                <w:spacing w:val="-12"/>
                <w:sz w:val="24"/>
                <w:szCs w:val="24"/>
              </w:rPr>
              <w:t>作者</w:t>
            </w:r>
          </w:p>
          <w:p w14:paraId="56221385">
            <w:pPr>
              <w:spacing w:line="320" w:lineRule="exact"/>
              <w:jc w:val="center"/>
              <w:rPr>
                <w:rFonts w:hint="default" w:ascii="Times New Roman" w:hAnsi="Times New Roman" w:eastAsia="方正仿宋_GBK" w:cs="Times New Roman"/>
                <w:b/>
                <w:bCs/>
                <w:color w:val="000000"/>
                <w:sz w:val="24"/>
                <w:szCs w:val="24"/>
              </w:rPr>
            </w:pPr>
            <w:r>
              <w:rPr>
                <w:rFonts w:hint="default" w:ascii="Times New Roman" w:hAnsi="Times New Roman" w:eastAsia="方正仿宋_GBK" w:cs="Times New Roman"/>
                <w:b/>
                <w:bCs/>
                <w:color w:val="000000"/>
                <w:spacing w:val="-12"/>
                <w:sz w:val="24"/>
                <w:szCs w:val="24"/>
              </w:rPr>
              <w:t>（主创人员）</w:t>
            </w:r>
          </w:p>
        </w:tc>
        <w:tc>
          <w:tcPr>
            <w:tcW w:w="3491" w:type="dxa"/>
            <w:gridSpan w:val="3"/>
            <w:tcBorders>
              <w:tl2br w:val="nil"/>
              <w:tr2bl w:val="nil"/>
            </w:tcBorders>
            <w:vAlign w:val="center"/>
          </w:tcPr>
          <w:p w14:paraId="7453BB5E">
            <w:pPr>
              <w:spacing w:line="240" w:lineRule="exact"/>
              <w:ind w:firstLine="0" w:firstLineChars="0"/>
              <w:jc w:val="center"/>
              <w:rPr>
                <w:rFonts w:hint="eastAsia" w:ascii="方正仿宋_GBK" w:hAnsi="方正仿宋_GBK" w:eastAsia="方正仿宋_GBK" w:cs="方正仿宋_GBK"/>
                <w:b w:val="0"/>
                <w:bCs w:val="0"/>
                <w:color w:val="000000"/>
                <w:sz w:val="21"/>
                <w:szCs w:val="21"/>
              </w:rPr>
            </w:pPr>
            <w:r>
              <w:rPr>
                <w:rFonts w:hint="eastAsia" w:ascii="方正仿宋_GBK" w:hAnsi="方正仿宋_GBK" w:eastAsia="方正仿宋_GBK" w:cs="方正仿宋_GBK"/>
                <w:b w:val="0"/>
                <w:bCs w:val="0"/>
                <w:color w:val="000000"/>
                <w:sz w:val="21"/>
                <w:szCs w:val="21"/>
              </w:rPr>
              <w:t>徐海涛 傅美丽 王晨  刘海</w:t>
            </w:r>
          </w:p>
        </w:tc>
        <w:tc>
          <w:tcPr>
            <w:tcW w:w="1530" w:type="dxa"/>
            <w:tcBorders>
              <w:tl2br w:val="nil"/>
              <w:tr2bl w:val="nil"/>
            </w:tcBorders>
            <w:vAlign w:val="center"/>
          </w:tcPr>
          <w:p w14:paraId="4B47EE1F">
            <w:pPr>
              <w:spacing w:line="380" w:lineRule="exact"/>
              <w:jc w:val="center"/>
              <w:rPr>
                <w:rFonts w:hint="default" w:ascii="Times New Roman" w:hAnsi="Times New Roman" w:eastAsia="方正仿宋_GBK" w:cs="Times New Roman"/>
                <w:b/>
                <w:bCs/>
                <w:color w:val="000000"/>
                <w:sz w:val="24"/>
                <w:szCs w:val="24"/>
              </w:rPr>
            </w:pPr>
            <w:r>
              <w:rPr>
                <w:rFonts w:hint="default" w:ascii="Times New Roman" w:hAnsi="Times New Roman" w:eastAsia="方正仿宋_GBK" w:cs="Times New Roman"/>
                <w:b/>
                <w:bCs/>
                <w:color w:val="000000"/>
                <w:sz w:val="24"/>
                <w:szCs w:val="24"/>
              </w:rPr>
              <w:t>编</w:t>
            </w:r>
            <w:r>
              <w:rPr>
                <w:rFonts w:hint="eastAsia" w:ascii="Times New Roman" w:hAnsi="Times New Roman" w:eastAsia="方正仿宋_GBK" w:cs="Times New Roman"/>
                <w:b/>
                <w:bCs/>
                <w:color w:val="000000"/>
                <w:sz w:val="24"/>
                <w:szCs w:val="24"/>
                <w:lang w:val="en-US" w:eastAsia="zh-CN"/>
              </w:rPr>
              <w:t xml:space="preserve">  </w:t>
            </w:r>
            <w:r>
              <w:rPr>
                <w:rFonts w:hint="default" w:ascii="Times New Roman" w:hAnsi="Times New Roman" w:eastAsia="方正仿宋_GBK" w:cs="Times New Roman"/>
                <w:b/>
                <w:bCs/>
                <w:color w:val="000000"/>
                <w:sz w:val="24"/>
                <w:szCs w:val="24"/>
              </w:rPr>
              <w:t>辑</w:t>
            </w:r>
          </w:p>
        </w:tc>
        <w:tc>
          <w:tcPr>
            <w:tcW w:w="3151" w:type="dxa"/>
            <w:gridSpan w:val="3"/>
            <w:tcBorders>
              <w:tl2br w:val="nil"/>
              <w:tr2bl w:val="nil"/>
            </w:tcBorders>
            <w:vAlign w:val="center"/>
          </w:tcPr>
          <w:p w14:paraId="21870789">
            <w:pPr>
              <w:spacing w:line="240" w:lineRule="exact"/>
              <w:ind w:firstLine="0" w:firstLineChars="0"/>
              <w:jc w:val="center"/>
              <w:rPr>
                <w:rFonts w:hint="default" w:ascii="方正仿宋_GBK" w:hAnsi="方正仿宋_GBK" w:eastAsia="方正仿宋_GBK" w:cs="方正仿宋_GBK"/>
                <w:b w:val="0"/>
                <w:bCs w:val="0"/>
                <w:color w:val="000000"/>
                <w:sz w:val="21"/>
                <w:szCs w:val="21"/>
                <w:lang w:val="en-US" w:eastAsia="zh-CN"/>
              </w:rPr>
            </w:pPr>
            <w:r>
              <w:rPr>
                <w:rFonts w:hint="eastAsia" w:ascii="方正仿宋_GBK" w:hAnsi="方正仿宋_GBK" w:eastAsia="方正仿宋_GBK" w:cs="方正仿宋_GBK"/>
                <w:b w:val="0"/>
                <w:bCs w:val="0"/>
                <w:color w:val="000000"/>
                <w:sz w:val="21"/>
                <w:szCs w:val="21"/>
              </w:rPr>
              <w:t>汪正文 张凡</w:t>
            </w:r>
            <w:r>
              <w:rPr>
                <w:rFonts w:hint="eastAsia" w:ascii="方正仿宋_GBK" w:hAnsi="方正仿宋_GBK" w:eastAsia="方正仿宋_GBK" w:cs="方正仿宋_GBK"/>
                <w:b w:val="0"/>
                <w:bCs w:val="0"/>
                <w:color w:val="000000"/>
                <w:sz w:val="21"/>
                <w:szCs w:val="21"/>
                <w:lang w:val="en-US" w:eastAsia="zh-CN"/>
              </w:rPr>
              <w:t xml:space="preserve"> 朱红川</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jc w:val="center"/>
        </w:trPr>
        <w:tc>
          <w:tcPr>
            <w:tcW w:w="1641" w:type="dxa"/>
            <w:gridSpan w:val="2"/>
            <w:tcBorders>
              <w:tl2br w:val="nil"/>
              <w:tr2bl w:val="nil"/>
            </w:tcBorders>
            <w:vAlign w:val="center"/>
          </w:tcPr>
          <w:p w14:paraId="1D26F75B">
            <w:pPr>
              <w:spacing w:line="320" w:lineRule="exact"/>
              <w:jc w:val="center"/>
              <w:rPr>
                <w:rFonts w:hint="default" w:ascii="Times New Roman" w:hAnsi="Times New Roman" w:eastAsia="方正仿宋_GBK" w:cs="Times New Roman"/>
                <w:b/>
                <w:bCs/>
                <w:color w:val="000000"/>
                <w:sz w:val="24"/>
                <w:szCs w:val="24"/>
              </w:rPr>
            </w:pPr>
            <w:r>
              <w:rPr>
                <w:rFonts w:hint="default" w:ascii="Times New Roman" w:hAnsi="Times New Roman" w:eastAsia="方正仿宋_GBK" w:cs="Times New Roman"/>
                <w:b/>
                <w:bCs/>
                <w:color w:val="000000"/>
                <w:sz w:val="24"/>
                <w:szCs w:val="24"/>
              </w:rPr>
              <w:t>原创</w:t>
            </w:r>
          </w:p>
          <w:p w14:paraId="0880A548">
            <w:pPr>
              <w:spacing w:line="320" w:lineRule="exact"/>
              <w:jc w:val="center"/>
              <w:rPr>
                <w:rFonts w:hint="default" w:ascii="Times New Roman" w:hAnsi="Times New Roman" w:eastAsia="方正仿宋_GBK" w:cs="Times New Roman"/>
                <w:b/>
                <w:bCs/>
                <w:color w:val="000000"/>
                <w:sz w:val="24"/>
                <w:szCs w:val="24"/>
              </w:rPr>
            </w:pPr>
            <w:r>
              <w:rPr>
                <w:rFonts w:hint="default" w:ascii="Times New Roman" w:hAnsi="Times New Roman" w:eastAsia="方正仿宋_GBK" w:cs="Times New Roman"/>
                <w:b/>
                <w:bCs/>
                <w:color w:val="000000"/>
                <w:sz w:val="24"/>
                <w:szCs w:val="24"/>
              </w:rPr>
              <w:t>单位</w:t>
            </w:r>
          </w:p>
        </w:tc>
        <w:tc>
          <w:tcPr>
            <w:tcW w:w="3491" w:type="dxa"/>
            <w:gridSpan w:val="3"/>
            <w:tcBorders>
              <w:tl2br w:val="nil"/>
              <w:tr2bl w:val="nil"/>
            </w:tcBorders>
            <w:vAlign w:val="center"/>
          </w:tcPr>
          <w:p w14:paraId="4A51632B">
            <w:pPr>
              <w:spacing w:line="260" w:lineRule="exact"/>
              <w:ind w:firstLine="0"/>
              <w:jc w:val="center"/>
              <w:rPr>
                <w:rFonts w:hint="eastAsia" w:ascii="方正仿宋_GBK" w:hAnsi="方正仿宋_GBK" w:eastAsia="方正仿宋_GBK" w:cs="方正仿宋_GBK"/>
                <w:b w:val="0"/>
                <w:bCs w:val="0"/>
                <w:color w:val="000000"/>
                <w:sz w:val="21"/>
                <w:szCs w:val="21"/>
                <w:lang w:val="en-US" w:eastAsia="zh-CN"/>
              </w:rPr>
            </w:pPr>
            <w:r>
              <w:rPr>
                <w:rFonts w:hint="eastAsia" w:ascii="方正仿宋_GBK" w:hAnsi="方正仿宋_GBK" w:eastAsia="方正仿宋_GBK" w:cs="方正仿宋_GBK"/>
                <w:b w:val="0"/>
                <w:bCs w:val="0"/>
                <w:color w:val="000000"/>
                <w:spacing w:val="-6"/>
                <w:sz w:val="21"/>
                <w:szCs w:val="21"/>
                <w:lang w:val="en-US" w:eastAsia="zh-CN"/>
              </w:rPr>
              <w:t>宿迁日报社</w:t>
            </w:r>
          </w:p>
        </w:tc>
        <w:tc>
          <w:tcPr>
            <w:tcW w:w="1530" w:type="dxa"/>
            <w:tcBorders>
              <w:tl2br w:val="nil"/>
              <w:tr2bl w:val="nil"/>
            </w:tcBorders>
            <w:vAlign w:val="center"/>
          </w:tcPr>
          <w:p w14:paraId="7B62230C">
            <w:pPr>
              <w:spacing w:line="260" w:lineRule="exact"/>
              <w:jc w:val="center"/>
              <w:rPr>
                <w:rFonts w:hint="default" w:ascii="Times New Roman" w:hAnsi="Times New Roman" w:eastAsia="方正仿宋_GBK" w:cs="Times New Roman"/>
                <w:b/>
                <w:bCs/>
                <w:color w:val="000000"/>
                <w:sz w:val="28"/>
                <w:szCs w:val="40"/>
                <w:highlight w:val="green"/>
              </w:rPr>
            </w:pPr>
            <w:r>
              <w:rPr>
                <w:rFonts w:hint="default" w:ascii="Times New Roman" w:hAnsi="Times New Roman" w:eastAsia="方正仿宋_GBK" w:cs="Times New Roman"/>
                <w:b/>
                <w:bCs/>
                <w:color w:val="000000"/>
                <w:sz w:val="24"/>
                <w:szCs w:val="36"/>
              </w:rPr>
              <w:t>发布端/账号/媒体名称</w:t>
            </w:r>
          </w:p>
        </w:tc>
        <w:tc>
          <w:tcPr>
            <w:tcW w:w="3151" w:type="dxa"/>
            <w:gridSpan w:val="3"/>
            <w:tcBorders>
              <w:tl2br w:val="nil"/>
              <w:tr2bl w:val="nil"/>
            </w:tcBorders>
            <w:vAlign w:val="center"/>
          </w:tcPr>
          <w:p w14:paraId="1B3ABACD">
            <w:pPr>
              <w:spacing w:line="240" w:lineRule="exact"/>
              <w:ind w:firstLine="0" w:firstLineChars="0"/>
              <w:jc w:val="center"/>
              <w:rPr>
                <w:rFonts w:hint="eastAsia" w:ascii="方正仿宋_GBK" w:hAnsi="方正仿宋_GBK" w:eastAsia="方正仿宋_GBK" w:cs="方正仿宋_GBK"/>
                <w:b w:val="0"/>
                <w:bCs w:val="0"/>
                <w:color w:val="000000"/>
                <w:sz w:val="21"/>
                <w:szCs w:val="21"/>
                <w:highlight w:val="none"/>
                <w:lang w:val="en-US" w:eastAsia="zh-CN"/>
              </w:rPr>
            </w:pPr>
            <w:r>
              <w:rPr>
                <w:rFonts w:hint="eastAsia" w:ascii="方正仿宋_GBK" w:hAnsi="方正仿宋_GBK" w:eastAsia="方正仿宋_GBK" w:cs="方正仿宋_GBK"/>
                <w:b w:val="0"/>
                <w:bCs w:val="0"/>
                <w:color w:val="000000"/>
                <w:sz w:val="21"/>
                <w:szCs w:val="21"/>
                <w:lang w:val="en-US" w:eastAsia="zh-CN"/>
              </w:rPr>
              <w:t>宿迁日报</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exact"/>
          <w:jc w:val="center"/>
        </w:trPr>
        <w:tc>
          <w:tcPr>
            <w:tcW w:w="1641" w:type="dxa"/>
            <w:gridSpan w:val="2"/>
            <w:tcBorders>
              <w:tl2br w:val="nil"/>
              <w:tr2bl w:val="nil"/>
            </w:tcBorders>
            <w:vAlign w:val="center"/>
          </w:tcPr>
          <w:p w14:paraId="04B8C04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b/>
                <w:bCs/>
                <w:color w:val="000000"/>
                <w:sz w:val="24"/>
                <w:szCs w:val="24"/>
              </w:rPr>
            </w:pPr>
            <w:r>
              <w:rPr>
                <w:rFonts w:hint="default" w:ascii="Times New Roman" w:hAnsi="Times New Roman" w:eastAsia="方正仿宋_GBK" w:cs="Times New Roman"/>
                <w:b/>
                <w:bCs/>
                <w:color w:val="000000"/>
                <w:sz w:val="24"/>
                <w:szCs w:val="24"/>
              </w:rPr>
              <w:t>刊播版面</w:t>
            </w:r>
          </w:p>
          <w:p w14:paraId="6F72177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b/>
                <w:bCs/>
                <w:color w:val="000000"/>
                <w:sz w:val="24"/>
                <w:szCs w:val="24"/>
              </w:rPr>
            </w:pPr>
            <w:r>
              <w:rPr>
                <w:rFonts w:hint="default" w:ascii="Times New Roman" w:hAnsi="Times New Roman" w:eastAsia="方正仿宋_GBK" w:cs="Times New Roman"/>
                <w:b/>
                <w:bCs/>
                <w:color w:val="000000"/>
                <w:spacing w:val="-23"/>
                <w:sz w:val="24"/>
                <w:szCs w:val="24"/>
                <w:lang w:eastAsia="zh-CN"/>
              </w:rPr>
              <w:t>（</w:t>
            </w:r>
            <w:r>
              <w:rPr>
                <w:rFonts w:hint="default" w:ascii="Times New Roman" w:hAnsi="Times New Roman" w:eastAsia="方正仿宋_GBK" w:cs="Times New Roman"/>
                <w:b/>
                <w:bCs/>
                <w:color w:val="000000"/>
                <w:spacing w:val="-23"/>
                <w:sz w:val="24"/>
                <w:szCs w:val="24"/>
              </w:rPr>
              <w:t>名称和版次</w:t>
            </w:r>
            <w:r>
              <w:rPr>
                <w:rFonts w:hint="default" w:ascii="Times New Roman" w:hAnsi="Times New Roman" w:eastAsia="方正仿宋_GBK" w:cs="Times New Roman"/>
                <w:b/>
                <w:bCs/>
                <w:color w:val="000000"/>
                <w:spacing w:val="-23"/>
                <w:sz w:val="24"/>
                <w:szCs w:val="24"/>
                <w:lang w:eastAsia="zh-CN"/>
              </w:rPr>
              <w:t>）</w:t>
            </w:r>
          </w:p>
        </w:tc>
        <w:tc>
          <w:tcPr>
            <w:tcW w:w="3491" w:type="dxa"/>
            <w:gridSpan w:val="3"/>
            <w:tcBorders>
              <w:tl2br w:val="nil"/>
              <w:tr2bl w:val="nil"/>
            </w:tcBorders>
            <w:vAlign w:val="center"/>
          </w:tcPr>
          <w:p w14:paraId="06FC5C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方正仿宋_GBK" w:cs="Times New Roman"/>
                <w:b w:val="0"/>
                <w:bCs w:val="0"/>
                <w:color w:val="000000"/>
                <w:sz w:val="24"/>
                <w:szCs w:val="24"/>
                <w:lang w:val="en-US" w:eastAsia="zh-CN"/>
              </w:rPr>
            </w:pPr>
            <w:r>
              <w:rPr>
                <w:rFonts w:hint="eastAsia" w:ascii="方正仿宋_GBK" w:hAnsi="方正仿宋_GBK" w:eastAsia="方正仿宋_GBK" w:cs="方正仿宋_GBK"/>
                <w:b w:val="0"/>
                <w:bCs w:val="0"/>
                <w:color w:val="000000"/>
                <w:sz w:val="21"/>
                <w:szCs w:val="21"/>
                <w:lang w:val="en-US" w:eastAsia="zh-CN"/>
              </w:rPr>
              <w:t>宿迁日报1版转4版</w:t>
            </w:r>
          </w:p>
        </w:tc>
        <w:tc>
          <w:tcPr>
            <w:tcW w:w="1530" w:type="dxa"/>
            <w:tcBorders>
              <w:tl2br w:val="nil"/>
              <w:tr2bl w:val="nil"/>
            </w:tcBorders>
            <w:vAlign w:val="center"/>
          </w:tcPr>
          <w:p w14:paraId="1A6D9E8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方正仿宋_GBK" w:cs="Times New Roman"/>
                <w:b w:val="0"/>
                <w:bCs w:val="0"/>
                <w:color w:val="000000"/>
                <w:sz w:val="24"/>
                <w:szCs w:val="24"/>
              </w:rPr>
            </w:pPr>
            <w:r>
              <w:rPr>
                <w:rFonts w:hint="default" w:ascii="Times New Roman" w:hAnsi="Times New Roman" w:eastAsia="方正仿宋_GBK" w:cs="Times New Roman"/>
                <w:b/>
                <w:bCs/>
                <w:color w:val="000000"/>
                <w:sz w:val="24"/>
                <w:szCs w:val="24"/>
                <w:lang w:val="en-US" w:eastAsia="zh-CN"/>
              </w:rPr>
              <w:t>发布</w:t>
            </w:r>
            <w:r>
              <w:rPr>
                <w:rFonts w:hint="default" w:ascii="Times New Roman" w:hAnsi="Times New Roman" w:eastAsia="方正仿宋_GBK" w:cs="Times New Roman"/>
                <w:b/>
                <w:bCs/>
                <w:color w:val="000000"/>
                <w:sz w:val="24"/>
                <w:szCs w:val="24"/>
              </w:rPr>
              <w:t>日期</w:t>
            </w:r>
          </w:p>
        </w:tc>
        <w:tc>
          <w:tcPr>
            <w:tcW w:w="3151" w:type="dxa"/>
            <w:gridSpan w:val="3"/>
            <w:tcBorders>
              <w:tl2br w:val="nil"/>
              <w:tr2bl w:val="nil"/>
            </w:tcBorders>
            <w:vAlign w:val="center"/>
          </w:tcPr>
          <w:p w14:paraId="7A66C5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方正仿宋_GBK" w:hAnsi="方正仿宋_GBK" w:eastAsia="方正仿宋_GBK" w:cs="方正仿宋_GBK"/>
                <w:b w:val="0"/>
                <w:bCs w:val="0"/>
                <w:color w:val="000000"/>
                <w:sz w:val="21"/>
                <w:szCs w:val="21"/>
                <w:lang w:val="en-US" w:eastAsia="zh-CN"/>
              </w:rPr>
            </w:pPr>
            <w:r>
              <w:rPr>
                <w:rFonts w:hint="eastAsia" w:ascii="方正仿宋_GBK" w:hAnsi="方正仿宋_GBK" w:eastAsia="方正仿宋_GBK" w:cs="方正仿宋_GBK"/>
                <w:b w:val="0"/>
                <w:bCs w:val="0"/>
                <w:color w:val="000000"/>
                <w:sz w:val="21"/>
                <w:szCs w:val="21"/>
                <w:lang w:val="en-US" w:eastAsia="zh-CN"/>
              </w:rPr>
              <w:t>2023年12月30日</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8" w:hRule="atLeast"/>
          <w:jc w:val="center"/>
        </w:trPr>
        <w:tc>
          <w:tcPr>
            <w:tcW w:w="1641" w:type="dxa"/>
            <w:gridSpan w:val="2"/>
            <w:tcBorders>
              <w:tl2br w:val="nil"/>
              <w:tr2bl w:val="nil"/>
            </w:tcBorders>
            <w:vAlign w:val="center"/>
          </w:tcPr>
          <w:p w14:paraId="7D9AC0D4">
            <w:pPr>
              <w:spacing w:line="320" w:lineRule="exact"/>
              <w:jc w:val="center"/>
              <w:rPr>
                <w:rFonts w:hint="default" w:ascii="Times New Roman" w:hAnsi="Times New Roman" w:eastAsia="方正仿宋_GBK" w:cs="Times New Roman"/>
                <w:b/>
                <w:bCs/>
                <w:color w:val="000000"/>
                <w:sz w:val="24"/>
                <w:szCs w:val="24"/>
                <w:lang w:val="en-US"/>
              </w:rPr>
            </w:pPr>
            <w:r>
              <w:rPr>
                <w:rFonts w:hint="default" w:ascii="Times New Roman" w:hAnsi="Times New Roman" w:eastAsia="方正仿宋_GBK" w:cs="Times New Roman"/>
                <w:b/>
                <w:bCs/>
                <w:color w:val="000000"/>
                <w:sz w:val="24"/>
                <w:szCs w:val="24"/>
              </w:rPr>
              <w:t>新媒体</w:t>
            </w:r>
            <w:r>
              <w:rPr>
                <w:rFonts w:hint="default" w:ascii="Times New Roman" w:hAnsi="Times New Roman" w:eastAsia="方正仿宋_GBK" w:cs="Times New Roman"/>
                <w:b/>
                <w:bCs/>
                <w:color w:val="000000"/>
                <w:sz w:val="24"/>
                <w:szCs w:val="24"/>
                <w:lang w:val="en-US"/>
              </w:rPr>
              <w:t>作品</w:t>
            </w:r>
          </w:p>
          <w:p w14:paraId="32F6A552">
            <w:pPr>
              <w:spacing w:line="320" w:lineRule="exact"/>
              <w:jc w:val="center"/>
              <w:rPr>
                <w:rFonts w:hint="default" w:ascii="Times New Roman" w:hAnsi="Times New Roman" w:eastAsia="方正仿宋_GBK" w:cs="Times New Roman"/>
                <w:b/>
                <w:bCs/>
                <w:color w:val="000000"/>
                <w:szCs w:val="21"/>
                <w:lang w:eastAsia="zh-CN"/>
              </w:rPr>
            </w:pPr>
            <w:r>
              <w:rPr>
                <w:rFonts w:hint="default" w:ascii="Times New Roman" w:hAnsi="Times New Roman" w:eastAsia="方正仿宋_GBK" w:cs="Times New Roman"/>
                <w:b/>
                <w:bCs/>
                <w:color w:val="000000"/>
                <w:sz w:val="24"/>
                <w:szCs w:val="24"/>
                <w:lang w:val="en-US" w:eastAsia="zh-CN"/>
              </w:rPr>
              <w:t>链接</w:t>
            </w:r>
          </w:p>
        </w:tc>
        <w:tc>
          <w:tcPr>
            <w:tcW w:w="8172" w:type="dxa"/>
            <w:gridSpan w:val="7"/>
            <w:tcBorders>
              <w:tl2br w:val="nil"/>
              <w:tr2bl w:val="nil"/>
            </w:tcBorders>
            <w:shd w:val="clear" w:color="auto" w:fill="auto"/>
            <w:vAlign w:val="center"/>
          </w:tcPr>
          <w:p w14:paraId="3B30F695">
            <w:pPr>
              <w:spacing w:line="260" w:lineRule="exact"/>
              <w:rPr>
                <w:rFonts w:hint="default" w:ascii="Times New Roman" w:hAnsi="Times New Roman" w:eastAsia="方正仿宋_GBK" w:cs="Times New Roman"/>
                <w:b w:val="0"/>
                <w:bCs w:val="0"/>
                <w:color w:val="000000"/>
                <w:kern w:val="2"/>
                <w:sz w:val="28"/>
                <w:szCs w:val="22"/>
                <w:highlight w:val="yellow"/>
                <w:lang w:val="en-US" w:eastAsia="zh-CN" w:bidi="ar-SA"/>
              </w:rPr>
            </w:pP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0" w:hRule="atLeast"/>
          <w:jc w:val="center"/>
        </w:trPr>
        <w:tc>
          <w:tcPr>
            <w:tcW w:w="795" w:type="dxa"/>
            <w:tcBorders>
              <w:tl2br w:val="nil"/>
              <w:tr2bl w:val="nil"/>
            </w:tcBorders>
            <w:vAlign w:val="center"/>
          </w:tcPr>
          <w:p w14:paraId="3869C97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作</w:t>
            </w:r>
          </w:p>
          <w:p w14:paraId="4D61922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品</w:t>
            </w:r>
          </w:p>
          <w:p w14:paraId="33317C93">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简</w:t>
            </w:r>
          </w:p>
          <w:p w14:paraId="55AC629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介</w:t>
            </w:r>
          </w:p>
        </w:tc>
        <w:tc>
          <w:tcPr>
            <w:tcW w:w="9018" w:type="dxa"/>
            <w:gridSpan w:val="8"/>
            <w:tcBorders>
              <w:tl2br w:val="nil"/>
              <w:tr2bl w:val="nil"/>
            </w:tcBorders>
            <w:vAlign w:val="center"/>
          </w:tcPr>
          <w:p w14:paraId="1EFCB826">
            <w:pPr>
              <w:keepNext w:val="0"/>
              <w:keepLines w:val="0"/>
              <w:pageBreakBefore w:val="0"/>
              <w:widowControl w:val="0"/>
              <w:kinsoku/>
              <w:wordWrap/>
              <w:overflowPunct/>
              <w:topLinePunct w:val="0"/>
              <w:autoSpaceDE/>
              <w:autoSpaceDN/>
              <w:bidi w:val="0"/>
              <w:adjustRightInd/>
              <w:snapToGrid/>
              <w:spacing w:line="220" w:lineRule="exact"/>
              <w:ind w:firstLine="398" w:firstLineChars="200"/>
              <w:jc w:val="both"/>
              <w:textAlignment w:val="auto"/>
              <w:rPr>
                <w:rFonts w:hint="eastAsia" w:ascii="方正仿宋_GBK" w:hAnsi="方正仿宋_GBK" w:eastAsia="方正仿宋_GBK" w:cs="方正仿宋_GBK"/>
                <w:b w:val="0"/>
                <w:bCs w:val="0"/>
                <w:color w:val="000000"/>
                <w:w w:val="95"/>
                <w:sz w:val="21"/>
                <w:szCs w:val="21"/>
              </w:rPr>
            </w:pPr>
            <w:r>
              <w:rPr>
                <w:rFonts w:hint="eastAsia" w:ascii="方正仿宋_GBK" w:hAnsi="方正仿宋_GBK" w:eastAsia="方正仿宋_GBK" w:cs="方正仿宋_GBK"/>
                <w:b w:val="0"/>
                <w:bCs w:val="0"/>
                <w:color w:val="000000"/>
                <w:w w:val="95"/>
                <w:sz w:val="21"/>
                <w:szCs w:val="21"/>
              </w:rPr>
              <w:t>这是老典型的“新生”记录，这是“破烂王”的觉醒之路，这是习近平生态文明思想实践伟力的生动反映</w:t>
            </w:r>
            <w:r>
              <w:rPr>
                <w:rFonts w:hint="eastAsia" w:ascii="方正仿宋_GBK" w:hAnsi="方正仿宋_GBK" w:eastAsia="方正仿宋_GBK" w:cs="方正仿宋_GBK"/>
                <w:b w:val="0"/>
                <w:bCs w:val="0"/>
                <w:color w:val="000000"/>
                <w:w w:val="95"/>
                <w:sz w:val="21"/>
                <w:szCs w:val="21"/>
                <w:lang w:eastAsia="zh-CN"/>
              </w:rPr>
              <w:t>，</w:t>
            </w:r>
            <w:r>
              <w:rPr>
                <w:rFonts w:hint="eastAsia" w:ascii="方正仿宋_GBK" w:hAnsi="方正仿宋_GBK" w:eastAsia="方正仿宋_GBK" w:cs="方正仿宋_GBK"/>
                <w:b w:val="0"/>
                <w:bCs w:val="0"/>
                <w:color w:val="000000"/>
                <w:w w:val="95"/>
                <w:sz w:val="21"/>
                <w:szCs w:val="21"/>
              </w:rPr>
              <w:t>这是宿迁大地乃至全国践行“两山”路上的一个极其生动的点位，具有“一颗水珠折射太阳光辉”的典型意义。</w:t>
            </w:r>
          </w:p>
          <w:p w14:paraId="71EA85FB">
            <w:pPr>
              <w:keepNext w:val="0"/>
              <w:keepLines w:val="0"/>
              <w:pageBreakBefore w:val="0"/>
              <w:widowControl w:val="0"/>
              <w:kinsoku/>
              <w:wordWrap/>
              <w:overflowPunct/>
              <w:topLinePunct w:val="0"/>
              <w:autoSpaceDE/>
              <w:autoSpaceDN/>
              <w:bidi w:val="0"/>
              <w:adjustRightInd/>
              <w:snapToGrid/>
              <w:spacing w:line="220" w:lineRule="exact"/>
              <w:ind w:firstLine="398" w:firstLineChars="200"/>
              <w:jc w:val="both"/>
              <w:textAlignment w:val="auto"/>
              <w:rPr>
                <w:rFonts w:hint="eastAsia" w:ascii="方正仿宋_GBK" w:hAnsi="方正仿宋_GBK" w:eastAsia="方正仿宋_GBK" w:cs="方正仿宋_GBK"/>
                <w:b w:val="0"/>
                <w:bCs w:val="0"/>
                <w:color w:val="000000"/>
                <w:w w:val="95"/>
                <w:sz w:val="21"/>
                <w:szCs w:val="21"/>
              </w:rPr>
            </w:pPr>
            <w:r>
              <w:rPr>
                <w:rFonts w:hint="eastAsia" w:ascii="方正仿宋_GBK" w:hAnsi="方正仿宋_GBK" w:eastAsia="方正仿宋_GBK" w:cs="方正仿宋_GBK"/>
                <w:b w:val="0"/>
                <w:bCs w:val="0"/>
                <w:color w:val="000000"/>
                <w:w w:val="95"/>
                <w:sz w:val="21"/>
                <w:szCs w:val="21"/>
              </w:rPr>
              <w:t>作品回溯从改革开放初期就享誉全国的“耿车模式”发源地耿车镇40年间的艰辛探索</w:t>
            </w:r>
            <w:r>
              <w:rPr>
                <w:rFonts w:hint="eastAsia" w:ascii="方正仿宋_GBK" w:hAnsi="方正仿宋_GBK" w:eastAsia="方正仿宋_GBK" w:cs="方正仿宋_GBK"/>
                <w:b w:val="0"/>
                <w:bCs w:val="0"/>
                <w:color w:val="000000"/>
                <w:w w:val="95"/>
                <w:sz w:val="21"/>
                <w:szCs w:val="21"/>
                <w:lang w:eastAsia="zh-CN"/>
              </w:rPr>
              <w:t>，</w:t>
            </w:r>
            <w:r>
              <w:rPr>
                <w:rFonts w:hint="eastAsia" w:ascii="方正仿宋_GBK" w:hAnsi="方正仿宋_GBK" w:eastAsia="方正仿宋_GBK" w:cs="方正仿宋_GBK"/>
                <w:b w:val="0"/>
                <w:bCs w:val="0"/>
                <w:color w:val="000000"/>
                <w:w w:val="95"/>
                <w:sz w:val="21"/>
                <w:szCs w:val="21"/>
              </w:rPr>
              <w:t>将笔触聚焦于耿车壮士断腕去污减塑第一次转型中</w:t>
            </w:r>
            <w:r>
              <w:rPr>
                <w:rFonts w:hint="eastAsia" w:ascii="方正仿宋_GBK" w:hAnsi="方正仿宋_GBK" w:eastAsia="方正仿宋_GBK" w:cs="方正仿宋_GBK"/>
                <w:b w:val="0"/>
                <w:bCs w:val="0"/>
                <w:color w:val="000000"/>
                <w:w w:val="95"/>
                <w:sz w:val="21"/>
                <w:szCs w:val="21"/>
                <w:lang w:eastAsia="zh-CN"/>
              </w:rPr>
              <w:t>，</w:t>
            </w:r>
            <w:r>
              <w:rPr>
                <w:rFonts w:hint="eastAsia" w:ascii="方正仿宋_GBK" w:hAnsi="方正仿宋_GBK" w:eastAsia="方正仿宋_GBK" w:cs="方正仿宋_GBK"/>
                <w:b w:val="0"/>
                <w:bCs w:val="0"/>
                <w:color w:val="000000"/>
                <w:w w:val="95"/>
                <w:sz w:val="21"/>
                <w:szCs w:val="21"/>
              </w:rPr>
              <w:t>发现家具产业造成新污染后果断打响产业绿色转型“第二战”。从被动整改到主动转型”艰难探索中，耿车人的生态意识从无知无觉到萌芽再到觉醒，呼应“‘破烂王’的生态觉醒”这一主题。</w:t>
            </w:r>
          </w:p>
          <w:p w14:paraId="72884E53">
            <w:pPr>
              <w:keepNext w:val="0"/>
              <w:keepLines w:val="0"/>
              <w:pageBreakBefore w:val="0"/>
              <w:widowControl w:val="0"/>
              <w:kinsoku/>
              <w:wordWrap/>
              <w:overflowPunct/>
              <w:topLinePunct w:val="0"/>
              <w:autoSpaceDE/>
              <w:autoSpaceDN/>
              <w:bidi w:val="0"/>
              <w:adjustRightInd/>
              <w:snapToGrid/>
              <w:spacing w:line="220" w:lineRule="exact"/>
              <w:ind w:firstLine="398" w:firstLineChars="200"/>
              <w:jc w:val="both"/>
              <w:textAlignment w:val="auto"/>
              <w:rPr>
                <w:rFonts w:hint="eastAsia" w:ascii="方正仿宋_GBK" w:hAnsi="方正仿宋_GBK" w:eastAsia="方正仿宋_GBK" w:cs="方正仿宋_GBK"/>
                <w:b w:val="0"/>
                <w:bCs w:val="0"/>
                <w:color w:val="000000"/>
                <w:w w:val="95"/>
                <w:sz w:val="21"/>
                <w:szCs w:val="21"/>
              </w:rPr>
            </w:pPr>
            <w:r>
              <w:rPr>
                <w:rFonts w:hint="eastAsia" w:ascii="方正仿宋_GBK" w:hAnsi="方正仿宋_GBK" w:eastAsia="方正仿宋_GBK" w:cs="方正仿宋_GBK"/>
                <w:b w:val="0"/>
                <w:bCs w:val="0"/>
                <w:color w:val="000000"/>
                <w:w w:val="95"/>
                <w:sz w:val="21"/>
                <w:szCs w:val="21"/>
              </w:rPr>
              <w:t>以一镇生态环境嬗变，展现习近平生态文明思想和高质量发展的宏大主题</w:t>
            </w:r>
            <w:r>
              <w:rPr>
                <w:rFonts w:hint="eastAsia" w:ascii="方正仿宋_GBK" w:hAnsi="方正仿宋_GBK" w:eastAsia="方正仿宋_GBK" w:cs="方正仿宋_GBK"/>
                <w:b w:val="0"/>
                <w:bCs w:val="0"/>
                <w:color w:val="000000"/>
                <w:w w:val="95"/>
                <w:sz w:val="21"/>
                <w:szCs w:val="21"/>
                <w:lang w:eastAsia="zh-CN"/>
              </w:rPr>
              <w:t>，</w:t>
            </w:r>
            <w:r>
              <w:rPr>
                <w:rFonts w:hint="eastAsia" w:ascii="方正仿宋_GBK" w:hAnsi="方正仿宋_GBK" w:eastAsia="方正仿宋_GBK" w:cs="方正仿宋_GBK"/>
                <w:b w:val="0"/>
                <w:bCs w:val="0"/>
                <w:color w:val="000000"/>
                <w:w w:val="95"/>
                <w:sz w:val="21"/>
                <w:szCs w:val="21"/>
              </w:rPr>
              <w:t>选题站位高、视野宽</w:t>
            </w:r>
            <w:r>
              <w:rPr>
                <w:rFonts w:hint="eastAsia" w:ascii="方正仿宋_GBK" w:hAnsi="方正仿宋_GBK" w:eastAsia="方正仿宋_GBK" w:cs="方正仿宋_GBK"/>
                <w:b w:val="0"/>
                <w:bCs w:val="0"/>
                <w:color w:val="000000"/>
                <w:w w:val="95"/>
                <w:sz w:val="21"/>
                <w:szCs w:val="21"/>
                <w:lang w:eastAsia="zh-CN"/>
              </w:rPr>
              <w:t>。</w:t>
            </w:r>
          </w:p>
          <w:p w14:paraId="755233F1">
            <w:pPr>
              <w:keepNext w:val="0"/>
              <w:keepLines w:val="0"/>
              <w:pageBreakBefore w:val="0"/>
              <w:widowControl w:val="0"/>
              <w:kinsoku/>
              <w:wordWrap/>
              <w:overflowPunct/>
              <w:topLinePunct w:val="0"/>
              <w:autoSpaceDE/>
              <w:autoSpaceDN/>
              <w:bidi w:val="0"/>
              <w:adjustRightInd/>
              <w:snapToGrid/>
              <w:spacing w:line="220" w:lineRule="exact"/>
              <w:ind w:firstLine="398" w:firstLineChars="200"/>
              <w:jc w:val="both"/>
              <w:textAlignment w:val="auto"/>
              <w:rPr>
                <w:rFonts w:hint="default" w:ascii="Times New Roman" w:hAnsi="Times New Roman" w:eastAsia="方正仿宋_GBK" w:cs="Times New Roman"/>
                <w:b w:val="0"/>
                <w:bCs w:val="0"/>
                <w:color w:val="000000"/>
                <w:w w:val="95"/>
                <w:sz w:val="21"/>
                <w:szCs w:val="21"/>
              </w:rPr>
            </w:pPr>
            <w:r>
              <w:rPr>
                <w:rFonts w:hint="eastAsia" w:ascii="方正仿宋_GBK" w:hAnsi="方正仿宋_GBK" w:eastAsia="方正仿宋_GBK" w:cs="方正仿宋_GBK"/>
                <w:b w:val="0"/>
                <w:bCs w:val="0"/>
                <w:color w:val="000000"/>
                <w:w w:val="95"/>
                <w:sz w:val="21"/>
                <w:szCs w:val="21"/>
              </w:rPr>
              <w:t>作者历经一个多月的调研采访，采访居民、专家、干部等逾50人，采访扎实</w:t>
            </w:r>
            <w:r>
              <w:rPr>
                <w:rFonts w:hint="eastAsia" w:ascii="方正仿宋_GBK" w:hAnsi="方正仿宋_GBK" w:eastAsia="方正仿宋_GBK" w:cs="方正仿宋_GBK"/>
                <w:b w:val="0"/>
                <w:bCs w:val="0"/>
                <w:color w:val="000000"/>
                <w:w w:val="95"/>
                <w:sz w:val="21"/>
                <w:szCs w:val="21"/>
                <w:lang w:eastAsia="zh-CN"/>
              </w:rPr>
              <w:t>，</w:t>
            </w:r>
            <w:r>
              <w:rPr>
                <w:rFonts w:hint="eastAsia" w:ascii="方正仿宋_GBK" w:hAnsi="方正仿宋_GBK" w:eastAsia="方正仿宋_GBK" w:cs="方正仿宋_GBK"/>
                <w:b w:val="0"/>
                <w:bCs w:val="0"/>
                <w:color w:val="000000"/>
                <w:w w:val="95"/>
                <w:sz w:val="21"/>
                <w:szCs w:val="21"/>
              </w:rPr>
              <w:t>细节丰富</w:t>
            </w:r>
            <w:r>
              <w:rPr>
                <w:rFonts w:hint="eastAsia" w:ascii="方正仿宋_GBK" w:hAnsi="方正仿宋_GBK" w:eastAsia="方正仿宋_GBK" w:cs="方正仿宋_GBK"/>
                <w:b w:val="0"/>
                <w:bCs w:val="0"/>
                <w:color w:val="000000"/>
                <w:w w:val="95"/>
                <w:sz w:val="21"/>
                <w:szCs w:val="21"/>
                <w:lang w:eastAsia="zh-CN"/>
              </w:rPr>
              <w:t>。</w:t>
            </w:r>
            <w:r>
              <w:rPr>
                <w:rFonts w:hint="eastAsia" w:ascii="方正仿宋_GBK" w:hAnsi="方正仿宋_GBK" w:eastAsia="方正仿宋_GBK" w:cs="方正仿宋_GBK"/>
                <w:b w:val="0"/>
                <w:bCs w:val="0"/>
                <w:color w:val="000000"/>
                <w:w w:val="95"/>
                <w:sz w:val="21"/>
                <w:szCs w:val="21"/>
              </w:rPr>
              <w:t>作品以“生态觉醒”</w:t>
            </w:r>
            <w:r>
              <w:rPr>
                <w:rFonts w:hint="eastAsia" w:ascii="方正仿宋_GBK" w:hAnsi="方正仿宋_GBK" w:eastAsia="方正仿宋_GBK" w:cs="方正仿宋_GBK"/>
                <w:b w:val="0"/>
                <w:bCs w:val="0"/>
                <w:color w:val="000000"/>
                <w:w w:val="95"/>
                <w:sz w:val="21"/>
                <w:szCs w:val="21"/>
                <w:lang w:val="en-US" w:eastAsia="zh-CN"/>
              </w:rPr>
              <w:t>统领</w:t>
            </w:r>
            <w:r>
              <w:rPr>
                <w:rFonts w:hint="eastAsia" w:ascii="方正仿宋_GBK" w:hAnsi="方正仿宋_GBK" w:eastAsia="方正仿宋_GBK" w:cs="方正仿宋_GBK"/>
                <w:b w:val="0"/>
                <w:bCs w:val="0"/>
                <w:color w:val="000000"/>
                <w:w w:val="95"/>
                <w:sz w:val="21"/>
                <w:szCs w:val="21"/>
              </w:rPr>
              <w:t>全篇，每一小标题均用一组复词，如“得失”“利弊”“绿金”“富美”等，辅以精准解析，反映耿车践行“两山”理念中的曲折探索，经历“得”与“失”之痛、“利”与“弊”之争，追求“绿”与“金”之兴，最终实现“富”与“美”之乐。作品有厚度，有锐度，梳理</w:t>
            </w:r>
            <w:r>
              <w:rPr>
                <w:rFonts w:hint="eastAsia" w:ascii="方正仿宋_GBK" w:hAnsi="方正仿宋_GBK" w:eastAsia="方正仿宋_GBK" w:cs="方正仿宋_GBK"/>
                <w:b w:val="0"/>
                <w:bCs w:val="0"/>
                <w:color w:val="000000"/>
                <w:w w:val="95"/>
                <w:sz w:val="21"/>
                <w:szCs w:val="21"/>
                <w:lang w:val="en-US" w:eastAsia="zh-CN"/>
              </w:rPr>
              <w:t>总结</w:t>
            </w:r>
            <w:r>
              <w:rPr>
                <w:rFonts w:hint="eastAsia" w:ascii="方正仿宋_GBK" w:hAnsi="方正仿宋_GBK" w:eastAsia="方正仿宋_GBK" w:cs="方正仿宋_GBK"/>
                <w:b w:val="0"/>
                <w:bCs w:val="0"/>
                <w:color w:val="000000"/>
                <w:w w:val="95"/>
                <w:sz w:val="21"/>
                <w:szCs w:val="21"/>
              </w:rPr>
              <w:t>“两山”理念实践成果，更</w:t>
            </w:r>
            <w:r>
              <w:rPr>
                <w:rFonts w:hint="eastAsia" w:ascii="方正仿宋_GBK" w:hAnsi="方正仿宋_GBK" w:eastAsia="方正仿宋_GBK" w:cs="方正仿宋_GBK"/>
                <w:b w:val="0"/>
                <w:bCs w:val="0"/>
                <w:color w:val="000000"/>
                <w:w w:val="95"/>
                <w:sz w:val="21"/>
                <w:szCs w:val="21"/>
                <w:lang w:val="en-US" w:eastAsia="zh-CN"/>
              </w:rPr>
              <w:t>树立</w:t>
            </w:r>
            <w:r>
              <w:rPr>
                <w:rFonts w:hint="eastAsia" w:ascii="方正仿宋_GBK" w:hAnsi="方正仿宋_GBK" w:eastAsia="方正仿宋_GBK" w:cs="方正仿宋_GBK"/>
                <w:b w:val="0"/>
                <w:bCs w:val="0"/>
                <w:color w:val="000000"/>
                <w:w w:val="95"/>
                <w:sz w:val="21"/>
                <w:szCs w:val="21"/>
              </w:rPr>
              <w:t>起一面建设新时代、共创未来的精神旗帜，令人鼓舞、催人奋进。</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1" w:hRule="exact"/>
          <w:jc w:val="center"/>
        </w:trPr>
        <w:tc>
          <w:tcPr>
            <w:tcW w:w="795" w:type="dxa"/>
            <w:vMerge w:val="restart"/>
            <w:tcBorders>
              <w:tl2br w:val="nil"/>
              <w:tr2bl w:val="nil"/>
            </w:tcBorders>
            <w:vAlign w:val="center"/>
          </w:tcPr>
          <w:p w14:paraId="7BFC70BA">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传</w:t>
            </w:r>
          </w:p>
          <w:p w14:paraId="0F6B8EA2">
            <w:pPr>
              <w:spacing w:line="320" w:lineRule="exact"/>
              <w:jc w:val="center"/>
              <w:rPr>
                <w:rFonts w:hint="default" w:ascii="Times New Roman" w:hAnsi="Times New Roman" w:eastAsia="方正仿宋_GBK" w:cs="Times New Roman"/>
                <w:b/>
                <w:bCs/>
                <w:color w:val="000000"/>
                <w:sz w:val="28"/>
                <w:szCs w:val="22"/>
                <w:lang w:val="en-US" w:eastAsia="zh-CN"/>
              </w:rPr>
            </w:pPr>
            <w:r>
              <w:rPr>
                <w:rFonts w:hint="default" w:ascii="Times New Roman" w:hAnsi="Times New Roman" w:eastAsia="方正仿宋_GBK" w:cs="Times New Roman"/>
                <w:b/>
                <w:bCs/>
                <w:color w:val="000000"/>
                <w:sz w:val="28"/>
                <w:szCs w:val="22"/>
              </w:rPr>
              <w:t>播</w:t>
            </w:r>
          </w:p>
          <w:p w14:paraId="1A867DF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数</w:t>
            </w:r>
          </w:p>
          <w:p w14:paraId="0EFA37B9">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据</w:t>
            </w:r>
          </w:p>
        </w:tc>
        <w:tc>
          <w:tcPr>
            <w:tcW w:w="1759" w:type="dxa"/>
            <w:gridSpan w:val="2"/>
            <w:tcBorders>
              <w:tl2br w:val="nil"/>
              <w:tr2bl w:val="nil"/>
            </w:tcBorders>
            <w:vAlign w:val="center"/>
          </w:tcPr>
          <w:p w14:paraId="436EEDCF">
            <w:pPr>
              <w:spacing w:line="240" w:lineRule="exact"/>
              <w:jc w:val="center"/>
              <w:rPr>
                <w:rFonts w:hint="default" w:ascii="Times New Roman" w:hAnsi="Times New Roman" w:eastAsia="方正仿宋_GBK" w:cs="Times New Roman"/>
                <w:b w:val="0"/>
                <w:bCs w:val="0"/>
                <w:color w:val="000000"/>
                <w:sz w:val="24"/>
                <w:szCs w:val="18"/>
                <w:lang w:val="en-US" w:eastAsia="zh-CN"/>
              </w:rPr>
            </w:pPr>
            <w:r>
              <w:rPr>
                <w:rFonts w:hint="default" w:ascii="Times New Roman" w:hAnsi="Times New Roman" w:eastAsia="华文楷体" w:cs="Times New Roman"/>
                <w:b/>
                <w:bCs/>
                <w:color w:val="000000"/>
                <w:kern w:val="2"/>
                <w:sz w:val="21"/>
                <w:szCs w:val="21"/>
                <w:lang w:val="en-US" w:eastAsia="zh-CN" w:bidi="ar-SA"/>
              </w:rPr>
              <w:t>全网传播量最高平台发布链接</w:t>
            </w:r>
          </w:p>
        </w:tc>
        <w:tc>
          <w:tcPr>
            <w:tcW w:w="7259" w:type="dxa"/>
            <w:gridSpan w:val="6"/>
            <w:tcBorders>
              <w:tl2br w:val="nil"/>
              <w:tr2bl w:val="nil"/>
            </w:tcBorders>
            <w:vAlign w:val="center"/>
          </w:tcPr>
          <w:p w14:paraId="10EAC8E2">
            <w:pPr>
              <w:spacing w:line="280" w:lineRule="exact"/>
              <w:rPr>
                <w:rFonts w:hint="default" w:ascii="Times New Roman" w:hAnsi="Times New Roman" w:eastAsia="方正仿宋_GBK" w:cs="Times New Roman"/>
                <w:b w:val="0"/>
                <w:bCs w:val="0"/>
                <w:color w:val="000000"/>
                <w:spacing w:val="-6"/>
                <w:sz w:val="21"/>
                <w:szCs w:val="21"/>
                <w:lang w:bidi="ar"/>
              </w:rPr>
            </w:pP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795" w:type="dxa"/>
            <w:vMerge w:val="continue"/>
            <w:tcBorders>
              <w:tl2br w:val="nil"/>
              <w:tr2bl w:val="nil"/>
            </w:tcBorders>
            <w:vAlign w:val="center"/>
          </w:tcPr>
          <w:p w14:paraId="40CAB92D">
            <w:pPr>
              <w:spacing w:line="320" w:lineRule="exact"/>
              <w:jc w:val="center"/>
              <w:rPr>
                <w:rFonts w:hint="default" w:ascii="Times New Roman" w:hAnsi="Times New Roman" w:eastAsia="方正仿宋_GBK" w:cs="Times New Roman"/>
                <w:b/>
                <w:bCs/>
                <w:color w:val="000000"/>
                <w:sz w:val="28"/>
              </w:rPr>
            </w:pPr>
          </w:p>
        </w:tc>
        <w:tc>
          <w:tcPr>
            <w:tcW w:w="1759" w:type="dxa"/>
            <w:gridSpan w:val="2"/>
            <w:tcBorders>
              <w:tl2br w:val="nil"/>
              <w:tr2bl w:val="nil"/>
            </w:tcBorders>
            <w:shd w:val="clear" w:color="auto" w:fill="auto"/>
            <w:vAlign w:val="center"/>
          </w:tcPr>
          <w:p w14:paraId="0CD586AA">
            <w:pPr>
              <w:spacing w:line="240" w:lineRule="exact"/>
              <w:jc w:val="center"/>
              <w:rPr>
                <w:rFonts w:hint="default" w:ascii="Times New Roman" w:hAnsi="Times New Roman" w:eastAsia="方正仿宋_GBK" w:cs="Times New Roman"/>
                <w:b w:val="0"/>
                <w:bCs w:val="0"/>
                <w:color w:val="000000"/>
                <w:kern w:val="2"/>
                <w:sz w:val="18"/>
                <w:szCs w:val="18"/>
                <w:lang w:val="en-US" w:eastAsia="zh-CN" w:bidi="ar-SA"/>
              </w:rPr>
            </w:pPr>
            <w:r>
              <w:rPr>
                <w:rFonts w:hint="default" w:ascii="Times New Roman" w:hAnsi="Times New Roman" w:eastAsia="方正楷体_GBK" w:cs="Times New Roman"/>
                <w:b/>
                <w:bCs/>
                <w:color w:val="000000"/>
                <w:sz w:val="18"/>
                <w:szCs w:val="18"/>
                <w:lang w:val="en-US" w:eastAsia="zh-CN"/>
              </w:rPr>
              <w:t>该平台传播量</w:t>
            </w:r>
          </w:p>
        </w:tc>
        <w:tc>
          <w:tcPr>
            <w:tcW w:w="1161" w:type="dxa"/>
            <w:tcBorders>
              <w:tl2br w:val="nil"/>
              <w:tr2bl w:val="nil"/>
            </w:tcBorders>
            <w:shd w:val="clear" w:color="auto" w:fill="auto"/>
            <w:vAlign w:val="center"/>
          </w:tcPr>
          <w:p w14:paraId="769BF1DC">
            <w:pPr>
              <w:spacing w:line="240" w:lineRule="exact"/>
              <w:rPr>
                <w:rFonts w:hint="default" w:ascii="Times New Roman" w:hAnsi="Times New Roman" w:eastAsia="方正仿宋_GBK" w:cs="Times New Roman"/>
                <w:b w:val="0"/>
                <w:bCs w:val="0"/>
                <w:color w:val="000000"/>
                <w:kern w:val="2"/>
                <w:sz w:val="18"/>
                <w:szCs w:val="18"/>
                <w:lang w:val="en-US" w:eastAsia="zh-CN" w:bidi="ar-SA"/>
              </w:rPr>
            </w:pPr>
          </w:p>
        </w:tc>
        <w:tc>
          <w:tcPr>
            <w:tcW w:w="1417" w:type="dxa"/>
            <w:tcBorders>
              <w:tl2br w:val="nil"/>
              <w:tr2bl w:val="nil"/>
            </w:tcBorders>
            <w:shd w:val="clear" w:color="auto" w:fill="auto"/>
            <w:vAlign w:val="center"/>
          </w:tcPr>
          <w:p w14:paraId="579A7769">
            <w:pPr>
              <w:spacing w:line="240" w:lineRule="exact"/>
              <w:jc w:val="center"/>
              <w:rPr>
                <w:rFonts w:hint="default" w:ascii="Times New Roman" w:hAnsi="Times New Roman" w:eastAsia="方正仿宋_GBK" w:cs="Times New Roman"/>
                <w:b w:val="0"/>
                <w:bCs w:val="0"/>
                <w:color w:val="000000"/>
                <w:kern w:val="2"/>
                <w:sz w:val="18"/>
                <w:szCs w:val="18"/>
                <w:lang w:val="en-US" w:eastAsia="zh-CN" w:bidi="ar-SA"/>
              </w:rPr>
            </w:pPr>
            <w:r>
              <w:rPr>
                <w:rFonts w:hint="default" w:ascii="Times New Roman" w:hAnsi="Times New Roman" w:eastAsia="方正楷体_GBK" w:cs="Times New Roman"/>
                <w:b/>
                <w:bCs/>
                <w:color w:val="000000"/>
                <w:sz w:val="18"/>
                <w:szCs w:val="18"/>
                <w:lang w:val="en-US" w:eastAsia="zh-CN"/>
              </w:rPr>
              <w:t>该平台</w:t>
            </w:r>
            <w:r>
              <w:rPr>
                <w:rFonts w:hint="default" w:ascii="Times New Roman" w:hAnsi="Times New Roman" w:eastAsia="方正楷体_GBK" w:cs="Times New Roman"/>
                <w:b/>
                <w:bCs/>
                <w:color w:val="000000"/>
                <w:sz w:val="18"/>
                <w:szCs w:val="18"/>
              </w:rPr>
              <w:t>互动</w:t>
            </w:r>
          </w:p>
        </w:tc>
        <w:tc>
          <w:tcPr>
            <w:tcW w:w="2027" w:type="dxa"/>
            <w:gridSpan w:val="2"/>
            <w:tcBorders>
              <w:tl2br w:val="nil"/>
              <w:tr2bl w:val="nil"/>
            </w:tcBorders>
            <w:vAlign w:val="center"/>
          </w:tcPr>
          <w:p w14:paraId="5BE3E5F6">
            <w:pPr>
              <w:spacing w:line="240" w:lineRule="exact"/>
              <w:rPr>
                <w:rFonts w:hint="default" w:ascii="Times New Roman" w:hAnsi="Times New Roman" w:eastAsia="方正仿宋_GBK" w:cs="Times New Roman"/>
                <w:b w:val="0"/>
                <w:bCs w:val="0"/>
                <w:color w:val="000000"/>
                <w:sz w:val="18"/>
                <w:szCs w:val="18"/>
                <w:lang w:val="en-US" w:eastAsia="zh-CN"/>
              </w:rPr>
            </w:pPr>
          </w:p>
        </w:tc>
        <w:tc>
          <w:tcPr>
            <w:tcW w:w="1678" w:type="dxa"/>
            <w:tcBorders>
              <w:tl2br w:val="nil"/>
              <w:tr2bl w:val="nil"/>
            </w:tcBorders>
            <w:vAlign w:val="center"/>
          </w:tcPr>
          <w:p w14:paraId="50FA0102">
            <w:pPr>
              <w:spacing w:line="240" w:lineRule="exact"/>
              <w:rPr>
                <w:rFonts w:hint="default" w:ascii="Times New Roman" w:hAnsi="Times New Roman" w:eastAsia="方正仿宋_GBK" w:cs="Times New Roman"/>
                <w:b w:val="0"/>
                <w:bCs w:val="0"/>
                <w:color w:val="000000"/>
                <w:sz w:val="18"/>
                <w:szCs w:val="18"/>
              </w:rPr>
            </w:pPr>
            <w:r>
              <w:rPr>
                <w:rFonts w:hint="default" w:ascii="Times New Roman" w:hAnsi="Times New Roman" w:eastAsia="方正楷体_GBK" w:cs="Times New Roman"/>
                <w:b/>
                <w:bCs/>
                <w:color w:val="000000"/>
                <w:sz w:val="18"/>
                <w:szCs w:val="18"/>
                <w:lang w:val="en-US" w:eastAsia="zh-CN"/>
              </w:rPr>
              <w:t>全网总传播量（万）</w:t>
            </w:r>
          </w:p>
        </w:tc>
        <w:tc>
          <w:tcPr>
            <w:tcW w:w="976" w:type="dxa"/>
            <w:tcBorders>
              <w:tl2br w:val="nil"/>
              <w:tr2bl w:val="nil"/>
            </w:tcBorders>
            <w:vAlign w:val="center"/>
          </w:tcPr>
          <w:p w14:paraId="03DD5D6F">
            <w:pPr>
              <w:spacing w:line="240" w:lineRule="exact"/>
              <w:rPr>
                <w:rFonts w:hint="default" w:ascii="Times New Roman" w:hAnsi="Times New Roman" w:eastAsia="方正仿宋_GBK" w:cs="Times New Roman"/>
                <w:b w:val="0"/>
                <w:bCs w:val="0"/>
                <w:color w:val="000000"/>
                <w:sz w:val="18"/>
                <w:szCs w:val="18"/>
              </w:rPr>
            </w:pPr>
          </w:p>
        </w:tc>
      </w:tr>
      <w:tr w14:paraId="4615D2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 w:hRule="exact"/>
          <w:jc w:val="center"/>
        </w:trPr>
        <w:tc>
          <w:tcPr>
            <w:tcW w:w="1641" w:type="dxa"/>
            <w:gridSpan w:val="2"/>
            <w:tcBorders>
              <w:right w:val="single" w:color="auto" w:sz="4" w:space="0"/>
              <w:tl2br w:val="nil"/>
              <w:tr2bl w:val="nil"/>
            </w:tcBorders>
            <w:vAlign w:val="center"/>
          </w:tcPr>
          <w:p w14:paraId="6C843C77">
            <w:pPr>
              <w:spacing w:line="32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eastAsia" w:ascii="Times New Roman" w:hAnsi="Times New Roman" w:eastAsia="方正仿宋_GBK" w:cs="Times New Roman"/>
                <w:b/>
                <w:bCs/>
                <w:color w:val="000000"/>
                <w:sz w:val="24"/>
                <w:szCs w:val="24"/>
                <w:lang w:val="en-US" w:eastAsia="zh-CN"/>
              </w:rPr>
              <w:t>公示链接</w:t>
            </w:r>
          </w:p>
        </w:tc>
        <w:tc>
          <w:tcPr>
            <w:tcW w:w="8172" w:type="dxa"/>
            <w:gridSpan w:val="7"/>
            <w:tcBorders>
              <w:left w:val="single" w:color="auto" w:sz="4" w:space="0"/>
              <w:tl2br w:val="nil"/>
              <w:tr2bl w:val="nil"/>
            </w:tcBorders>
            <w:vAlign w:val="center"/>
          </w:tcPr>
          <w:p w14:paraId="256F28C5">
            <w:pPr>
              <w:spacing w:line="240" w:lineRule="exact"/>
              <w:rPr>
                <w:rFonts w:hint="default" w:ascii="Times New Roman" w:hAnsi="Times New Roman" w:eastAsia="方正仿宋_GBK" w:cs="Times New Roman"/>
                <w:b w:val="0"/>
                <w:bCs w:val="0"/>
                <w:color w:val="000000"/>
                <w:sz w:val="21"/>
                <w:szCs w:val="21"/>
                <w:lang w:val="en-US" w:eastAsia="zh-CN"/>
              </w:rPr>
            </w:pP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6" w:hRule="exact"/>
          <w:jc w:val="center"/>
        </w:trPr>
        <w:tc>
          <w:tcPr>
            <w:tcW w:w="795" w:type="dxa"/>
            <w:tcBorders>
              <w:tl2br w:val="nil"/>
              <w:tr2bl w:val="nil"/>
            </w:tcBorders>
            <w:vAlign w:val="center"/>
          </w:tcPr>
          <w:p w14:paraId="7C530D9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 xml:space="preserve">  </w:t>
            </w:r>
          </w:p>
          <w:p w14:paraId="2AF5CE53">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推</w:t>
            </w:r>
          </w:p>
          <w:p w14:paraId="70360EC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荐</w:t>
            </w:r>
          </w:p>
          <w:p w14:paraId="25BBAAD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理</w:t>
            </w:r>
          </w:p>
          <w:p w14:paraId="1F394BD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由</w:t>
            </w:r>
          </w:p>
          <w:p w14:paraId="03904B32">
            <w:pPr>
              <w:widowControl w:val="0"/>
              <w:spacing w:line="320" w:lineRule="exact"/>
              <w:jc w:val="center"/>
              <w:rPr>
                <w:rFonts w:hint="default" w:ascii="Times New Roman" w:hAnsi="Times New Roman" w:eastAsia="方正仿宋_GBK" w:cs="Times New Roman"/>
                <w:b/>
                <w:bCs/>
                <w:sz w:val="28"/>
              </w:rPr>
            </w:pPr>
          </w:p>
          <w:p w14:paraId="12ACF2BB">
            <w:pPr>
              <w:widowControl w:val="0"/>
              <w:spacing w:line="320" w:lineRule="exact"/>
              <w:jc w:val="center"/>
              <w:rPr>
                <w:rFonts w:hint="default" w:ascii="Times New Roman" w:hAnsi="Times New Roman" w:eastAsia="方正仿宋_GBK" w:cs="Times New Roman"/>
                <w:b/>
                <w:bCs/>
                <w:sz w:val="28"/>
              </w:rPr>
            </w:pPr>
          </w:p>
          <w:p w14:paraId="706A7016">
            <w:pPr>
              <w:widowControl w:val="0"/>
              <w:spacing w:line="320" w:lineRule="exact"/>
              <w:jc w:val="center"/>
              <w:rPr>
                <w:rFonts w:hint="default" w:ascii="Times New Roman" w:hAnsi="Times New Roman" w:eastAsia="方正仿宋_GBK" w:cs="Times New Roman"/>
                <w:b/>
                <w:bCs/>
                <w:sz w:val="28"/>
              </w:rPr>
            </w:pPr>
          </w:p>
          <w:p w14:paraId="1BE3FC92">
            <w:pPr>
              <w:spacing w:line="240" w:lineRule="exact"/>
              <w:jc w:val="center"/>
              <w:rPr>
                <w:rFonts w:hint="default" w:ascii="Times New Roman" w:hAnsi="Times New Roman" w:eastAsia="方正仿宋_GBK" w:cs="Times New Roman"/>
                <w:b/>
                <w:bCs/>
                <w:color w:val="000000"/>
                <w:sz w:val="28"/>
                <w:lang w:val="en-US" w:eastAsia="zh-CN"/>
              </w:rPr>
            </w:pPr>
            <w:r>
              <w:rPr>
                <w:rFonts w:hint="default" w:ascii="Times New Roman" w:hAnsi="Times New Roman" w:eastAsia="方正仿宋_GBK" w:cs="Times New Roman"/>
                <w:b/>
                <w:bCs/>
                <w:sz w:val="28"/>
                <w:lang w:val="en-US" w:eastAsia="zh-CN"/>
              </w:rPr>
              <w:t xml:space="preserve">  </w:t>
            </w:r>
          </w:p>
        </w:tc>
        <w:tc>
          <w:tcPr>
            <w:tcW w:w="9018" w:type="dxa"/>
            <w:gridSpan w:val="8"/>
            <w:tcBorders>
              <w:tl2br w:val="nil"/>
              <w:tr2bl w:val="nil"/>
            </w:tcBorders>
            <w:vAlign w:val="center"/>
          </w:tcPr>
          <w:p w14:paraId="561F4A32">
            <w:pPr>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rPr>
                <w:rFonts w:hint="eastAsia" w:ascii="方正仿宋_GBK" w:hAnsi="方正仿宋_GBK" w:eastAsia="方正仿宋_GBK" w:cs="方正仿宋_GBK"/>
                <w:b w:val="0"/>
                <w:bCs w:val="0"/>
                <w:color w:val="000000"/>
                <w:sz w:val="21"/>
                <w:szCs w:val="21"/>
                <w:lang w:bidi="ar"/>
              </w:rPr>
            </w:pPr>
            <w:r>
              <w:rPr>
                <w:rFonts w:hint="default" w:ascii="Times New Roman" w:hAnsi="Times New Roman" w:eastAsia="方正仿宋_GBK" w:cs="Times New Roman"/>
                <w:b w:val="0"/>
                <w:bCs w:val="0"/>
                <w:color w:val="000000"/>
                <w:sz w:val="21"/>
                <w:szCs w:val="21"/>
                <w:lang w:bidi="ar"/>
              </w:rPr>
              <w:t xml:space="preserve">  </w:t>
            </w:r>
            <w:r>
              <w:rPr>
                <w:rFonts w:hint="eastAsia" w:ascii="方正仿宋_GBK" w:hAnsi="方正仿宋_GBK" w:eastAsia="方正仿宋_GBK" w:cs="方正仿宋_GBK"/>
                <w:b w:val="0"/>
                <w:bCs w:val="0"/>
                <w:color w:val="000000"/>
                <w:sz w:val="21"/>
                <w:szCs w:val="21"/>
                <w:lang w:val="en-US" w:eastAsia="zh-CN" w:bidi="ar"/>
              </w:rPr>
              <w:t xml:space="preserve"> </w:t>
            </w:r>
            <w:r>
              <w:rPr>
                <w:rFonts w:hint="eastAsia" w:ascii="方正仿宋_GBK" w:hAnsi="方正仿宋_GBK" w:eastAsia="方正仿宋_GBK" w:cs="方正仿宋_GBK"/>
                <w:b w:val="0"/>
                <w:bCs w:val="0"/>
                <w:color w:val="000000"/>
                <w:sz w:val="21"/>
                <w:szCs w:val="21"/>
                <w:lang w:bidi="ar"/>
              </w:rPr>
              <w:t>作品精心选取具有典型意义的事件和人物实地走访，记录了一段动人心魄的生态涅槃奇迹，再现了耿车的“觉醒”历程，同时以小切口展开大主题，通过一个镇四十年间的发展，尤其是党的十八大以来耿车毅然决然告别以牺牲环境为代价的传统发展方式，坚定践行“两山”理念，壮士断腕去污减塑，强力推动转型发展的细节描写，显示出生态文明建设制度创新的良好成效和蓬勃生机。</w:t>
            </w:r>
          </w:p>
          <w:p w14:paraId="5659E686">
            <w:pPr>
              <w:keepNext w:val="0"/>
              <w:keepLines w:val="0"/>
              <w:pageBreakBefore w:val="0"/>
              <w:widowControl w:val="0"/>
              <w:kinsoku/>
              <w:wordWrap/>
              <w:overflowPunct/>
              <w:topLinePunct w:val="0"/>
              <w:autoSpaceDE/>
              <w:autoSpaceDN/>
              <w:bidi w:val="0"/>
              <w:adjustRightInd/>
              <w:snapToGrid/>
              <w:spacing w:line="280" w:lineRule="exact"/>
              <w:ind w:firstLine="0" w:firstLineChars="0"/>
              <w:textAlignment w:val="auto"/>
              <w:rPr>
                <w:rFonts w:hint="eastAsia" w:ascii="方正仿宋_GBK" w:hAnsi="方正仿宋_GBK" w:eastAsia="方正仿宋_GBK" w:cs="方正仿宋_GBK"/>
                <w:b w:val="0"/>
                <w:bCs w:val="0"/>
                <w:color w:val="000000"/>
                <w:sz w:val="21"/>
                <w:szCs w:val="21"/>
                <w:lang w:bidi="ar"/>
              </w:rPr>
            </w:pPr>
            <w:r>
              <w:rPr>
                <w:rFonts w:hint="eastAsia" w:ascii="方正仿宋_GBK" w:hAnsi="方正仿宋_GBK" w:eastAsia="方正仿宋_GBK" w:cs="方正仿宋_GBK"/>
                <w:b w:val="0"/>
                <w:bCs w:val="0"/>
                <w:color w:val="000000"/>
                <w:sz w:val="21"/>
                <w:szCs w:val="21"/>
                <w:lang w:bidi="ar"/>
              </w:rPr>
              <w:t xml:space="preserve">   作品以力透纸背的笔力回顾耿车生态转型的艰难摸索的历程，描绘美好幸福的现在，眺望更加美好的未来，深刻阐述“两山”理念的深刻内涵，见证习近平生态文明思想的实践伟力。作品引起群众共鸣，也为转型中的苏北乡镇探寻发展新路作出积极探索。</w:t>
            </w:r>
          </w:p>
          <w:p w14:paraId="798F1FFC">
            <w:pPr>
              <w:keepNext w:val="0"/>
              <w:keepLines w:val="0"/>
              <w:pageBreakBefore w:val="0"/>
              <w:widowControl w:val="0"/>
              <w:kinsoku/>
              <w:wordWrap/>
              <w:overflowPunct/>
              <w:topLinePunct w:val="0"/>
              <w:autoSpaceDE/>
              <w:autoSpaceDN/>
              <w:bidi w:val="0"/>
              <w:adjustRightInd/>
              <w:snapToGrid/>
              <w:spacing w:line="280" w:lineRule="exact"/>
              <w:ind w:firstLine="420" w:firstLineChars="200"/>
              <w:textAlignment w:val="auto"/>
              <w:rPr>
                <w:rFonts w:hint="eastAsia" w:ascii="方正仿宋_GBK" w:hAnsi="方正仿宋_GBK" w:eastAsia="方正仿宋_GBK" w:cs="方正仿宋_GBK"/>
                <w:b w:val="0"/>
                <w:bCs w:val="0"/>
                <w:color w:val="000000"/>
                <w:sz w:val="21"/>
                <w:szCs w:val="21"/>
                <w:lang w:bidi="ar"/>
              </w:rPr>
            </w:pPr>
            <w:r>
              <w:rPr>
                <w:rFonts w:hint="eastAsia" w:ascii="方正仿宋_GBK" w:hAnsi="方正仿宋_GBK" w:eastAsia="方正仿宋_GBK" w:cs="方正仿宋_GBK"/>
                <w:b w:val="0"/>
                <w:bCs w:val="0"/>
                <w:color w:val="000000"/>
                <w:sz w:val="21"/>
                <w:szCs w:val="21"/>
                <w:lang w:bidi="ar"/>
              </w:rPr>
              <w:t>作品在舆论场上引发强烈反省，为宿迁进一步推进生态转型凝聚了人心、鼓舞了士气。作品以细腻的笔触引发广泛共鸣，宿迁政府网站、新闻网、学习强国平台等多家网站及移动端转发。四川、安徽及省内淮安、泰州等地多个乡镇赶赴耿车实地观摩并学习交流，发挥出极大的示范引领作用。报道也在耿车当地引发干部群众热议。大家纷纷表示，要坚定不移地沿着习近平总书记生态文明思想引领的路子继续走下去，一以贯之、久久为功，努力建设宜居宜业和美乡村，既富口袋也富生态。</w:t>
            </w:r>
          </w:p>
          <w:p w14:paraId="3109BF00">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sz w:val="28"/>
              </w:rPr>
            </w:pPr>
            <w:r>
              <w:rPr>
                <w:rFonts w:hint="default" w:ascii="Times New Roman" w:hAnsi="Times New Roman" w:eastAsia="方正仿宋_GBK" w:cs="Times New Roman"/>
                <w:b w:val="0"/>
                <w:bCs w:val="0"/>
                <w:color w:val="000000"/>
                <w:spacing w:val="-2"/>
                <w:sz w:val="28"/>
              </w:rPr>
              <w:t xml:space="preserve">                               签名</w:t>
            </w:r>
            <w:r>
              <w:rPr>
                <w:rFonts w:hint="default" w:ascii="Times New Roman" w:hAnsi="Times New Roman" w:eastAsia="方正仿宋_GBK" w:cs="Times New Roman"/>
                <w:b w:val="0"/>
                <w:bCs w:val="0"/>
                <w:color w:val="000000"/>
                <w:sz w:val="28"/>
              </w:rPr>
              <w:t>（盖单位公章）</w:t>
            </w:r>
            <w:r>
              <w:rPr>
                <w:rFonts w:hint="default" w:ascii="Times New Roman" w:hAnsi="Times New Roman" w:eastAsia="方正仿宋_GBK" w:cs="Times New Roman"/>
                <w:b w:val="0"/>
                <w:bCs w:val="0"/>
                <w:color w:val="000000"/>
                <w:spacing w:val="-2"/>
                <w:sz w:val="28"/>
              </w:rPr>
              <w:t>：</w:t>
            </w:r>
          </w:p>
          <w:p w14:paraId="5DF11F77">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szCs w:val="21"/>
              </w:rPr>
            </w:pPr>
            <w:r>
              <w:rPr>
                <w:rFonts w:hint="default" w:ascii="Times New Roman" w:hAnsi="Times New Roman" w:eastAsia="方正仿宋_GBK" w:cs="Times New Roman"/>
                <w:b w:val="0"/>
                <w:bCs w:val="0"/>
                <w:color w:val="000000"/>
                <w:sz w:val="28"/>
              </w:rPr>
              <w:t xml:space="preserve">                                    年  月  日</w:t>
            </w:r>
          </w:p>
        </w:tc>
      </w:tr>
    </w:tbl>
    <w:p w14:paraId="27F27250">
      <w:pPr>
        <w:rPr>
          <w:rFonts w:hint="default" w:ascii="Times New Roman" w:hAnsi="Times New Roman" w:cs="Times New Roman"/>
        </w:rPr>
      </w:pPr>
    </w:p>
    <w:sectPr>
      <w:headerReference r:id="rId3" w:type="default"/>
      <w:pgSz w:w="11906" w:h="16838"/>
      <w:pgMar w:top="850" w:right="1800" w:bottom="68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简体">
    <w:panose1 w:val="02010600010101010101"/>
    <w:charset w:val="86"/>
    <w:family w:val="script"/>
    <w:pitch w:val="default"/>
    <w:sig w:usb0="00000001" w:usb1="080E0000" w:usb2="00000000" w:usb3="00000000" w:csb0="00040000" w:csb1="00000000"/>
    <w:embedRegular r:id="rId1" w:fontKey="{4769FBDE-B329-417F-B81F-5820DE7F4ABC}"/>
  </w:font>
  <w:font w:name="方正小标宋_GBK">
    <w:panose1 w:val="03000509000000000000"/>
    <w:charset w:val="86"/>
    <w:family w:val="script"/>
    <w:pitch w:val="default"/>
    <w:sig w:usb0="00000001" w:usb1="080E0000" w:usb2="00000000" w:usb3="00000000" w:csb0="00040000" w:csb1="00000000"/>
    <w:embedRegular r:id="rId2" w:fontKey="{AE96E36B-227D-4A2B-BEA2-B8B3AF7CFDD2}"/>
  </w:font>
  <w:font w:name="方正仿宋_GBK">
    <w:panose1 w:val="02000000000000000000"/>
    <w:charset w:val="86"/>
    <w:family w:val="auto"/>
    <w:pitch w:val="default"/>
    <w:sig w:usb0="A00002BF" w:usb1="38CF7CFA" w:usb2="00082016" w:usb3="00000000" w:csb0="00040001" w:csb1="00000000"/>
    <w:embedRegular r:id="rId3" w:fontKey="{F798E68F-5054-47EE-BD44-CB75786D8745}"/>
  </w:font>
  <w:font w:name="华文楷体">
    <w:panose1 w:val="02010600040101010101"/>
    <w:charset w:val="86"/>
    <w:family w:val="auto"/>
    <w:pitch w:val="default"/>
    <w:sig w:usb0="00000287" w:usb1="080F0000" w:usb2="00000000" w:usb3="00000000" w:csb0="0004009F" w:csb1="DFD70000"/>
    <w:embedRegular r:id="rId4" w:fontKey="{123055D0-8AD2-48A0-8345-1397424CD710}"/>
  </w:font>
  <w:font w:name="方正楷体_GBK">
    <w:panose1 w:val="03000509000000000000"/>
    <w:charset w:val="86"/>
    <w:family w:val="auto"/>
    <w:pitch w:val="default"/>
    <w:sig w:usb0="00000001" w:usb1="080E0000" w:usb2="00000000" w:usb3="00000000" w:csb0="00040000" w:csb1="00000000"/>
    <w:embedRegular r:id="rId5" w:fontKey="{C7A46A11-99E6-427D-8E9A-B6608A830A86}"/>
  </w:font>
  <w:font w:name="楷体">
    <w:panose1 w:val="02010609060101010101"/>
    <w:charset w:val="86"/>
    <w:family w:val="modern"/>
    <w:pitch w:val="default"/>
    <w:sig w:usb0="800002BF" w:usb1="38CF7CFA" w:usb2="00000016" w:usb3="00000000" w:csb0="00040001" w:csb1="00000000"/>
    <w:embedRegular r:id="rId6" w:fontKey="{3F06DC0F-9691-4D2F-AA57-E4EB5283357E}"/>
  </w:font>
  <w:font w:name="WPSEMBED24">
    <w:panose1 w:val="03000509000000000000"/>
    <w:charset w:val="86"/>
    <w:family w:val="auto"/>
    <w:pitch w:val="default"/>
    <w:sig w:usb0="00000001" w:usb1="080E0000" w:usb2="00000000" w:usb3="00000000" w:csb0="00040000" w:csb1="00000000"/>
  </w:font>
  <w:font w:name="WPSEMBED25">
    <w:panose1 w:val="02010600040101010101"/>
    <w:charset w:val="86"/>
    <w:family w:val="auto"/>
    <w:pitch w:val="default"/>
    <w:sig w:usb0="00000287" w:usb1="080F0000" w:usb2="00000000" w:usb3="00000000" w:csb0="0004009F" w:csb1="DFD70000"/>
  </w:font>
  <w:font w:name="WPSEMBED26">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06786"/>
    <w:rsid w:val="01582421"/>
    <w:rsid w:val="01A97B4C"/>
    <w:rsid w:val="040C2A1E"/>
    <w:rsid w:val="076C6EF6"/>
    <w:rsid w:val="0A155C79"/>
    <w:rsid w:val="0B462863"/>
    <w:rsid w:val="0B810310"/>
    <w:rsid w:val="0BDC704F"/>
    <w:rsid w:val="0C9615C8"/>
    <w:rsid w:val="0EF6634E"/>
    <w:rsid w:val="103E4A53"/>
    <w:rsid w:val="112856CA"/>
    <w:rsid w:val="16FA2753"/>
    <w:rsid w:val="1A2B27FC"/>
    <w:rsid w:val="1A856BB0"/>
    <w:rsid w:val="291819B2"/>
    <w:rsid w:val="2CCF04B2"/>
    <w:rsid w:val="2F725125"/>
    <w:rsid w:val="31523460"/>
    <w:rsid w:val="33363900"/>
    <w:rsid w:val="38C033A5"/>
    <w:rsid w:val="38DD1AE9"/>
    <w:rsid w:val="3A696F7B"/>
    <w:rsid w:val="3ADE3FB6"/>
    <w:rsid w:val="3B5D312D"/>
    <w:rsid w:val="3CBA010B"/>
    <w:rsid w:val="3CD218F9"/>
    <w:rsid w:val="3D202664"/>
    <w:rsid w:val="3F0C2A04"/>
    <w:rsid w:val="40600B09"/>
    <w:rsid w:val="499A72FA"/>
    <w:rsid w:val="4B736055"/>
    <w:rsid w:val="4CA94913"/>
    <w:rsid w:val="5D250E1A"/>
    <w:rsid w:val="5F83500A"/>
    <w:rsid w:val="60BF5B6D"/>
    <w:rsid w:val="62F5293B"/>
    <w:rsid w:val="64201A10"/>
    <w:rsid w:val="68E6311C"/>
    <w:rsid w:val="6F6B5CF5"/>
    <w:rsid w:val="70CD2B43"/>
    <w:rsid w:val="718F2A22"/>
    <w:rsid w:val="72205B7A"/>
    <w:rsid w:val="73F26870"/>
    <w:rsid w:val="7423420D"/>
    <w:rsid w:val="764B1DD1"/>
    <w:rsid w:val="77884AB3"/>
    <w:rsid w:val="7C7D08CD"/>
    <w:rsid w:val="7CE53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next w:val="1"/>
    <w:unhideWhenUsed/>
    <w:qFormat/>
    <w:uiPriority w:val="99"/>
    <w:pPr>
      <w:tabs>
        <w:tab w:val="center" w:pos="4153"/>
        <w:tab w:val="right" w:pos="8306"/>
      </w:tabs>
      <w:snapToGrid w:val="0"/>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1201</Words>
  <Characters>1214</Characters>
  <Lines>0</Lines>
  <Paragraphs>0</Paragraphs>
  <TotalTime>36</TotalTime>
  <ScaleCrop>false</ScaleCrop>
  <LinksUpToDate>false</LinksUpToDate>
  <CharactersWithSpaces>1301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hapsong</cp:lastModifiedBy>
  <dcterms:modified xsi:type="dcterms:W3CDTF">2026-08-10T08:01:09Z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eyJoZGlkIjoiMGM2ODU4ODM4NWZlNTFjNDM2NzBhZDQxNjI4MWFjNmIiLCJ1c2VySWQiOiI0ODEyMTI0NzQifQ==</vt:lpwstr>
  </property>
  <property fmtid="{D5CDD505-2E9C-101B-9397-08002B2CF9AE}" pid="4" name="ICV">
    <vt:lpwstr>DF972166F7E9483193600F299287B857_13</vt:lpwstr>
  </property>
</Properties>
</file>